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B8F3E" w14:textId="77777777" w:rsidR="005B25DB" w:rsidRPr="004126E5" w:rsidRDefault="005B25DB" w:rsidP="005B25DB">
      <w:pPr>
        <w:pStyle w:val="BodyText"/>
        <w:rPr>
          <w:rFonts w:cs="Calibri"/>
        </w:rPr>
      </w:pPr>
    </w:p>
    <w:p w14:paraId="13E26BB2" w14:textId="77777777" w:rsidR="006140B5" w:rsidRPr="006140B5" w:rsidRDefault="006140B5" w:rsidP="006140B5">
      <w:pPr>
        <w:pStyle w:val="BodyText"/>
        <w:jc w:val="center"/>
        <w:rPr>
          <w:rFonts w:cs="Calibri"/>
          <w:b/>
          <w:bCs/>
          <w:caps/>
        </w:rPr>
      </w:pPr>
      <w:r w:rsidRPr="006140B5">
        <w:rPr>
          <w:rFonts w:cs="Calibri"/>
          <w:b/>
          <w:bCs/>
          <w:caps/>
        </w:rPr>
        <w:t>The FSRA has no responsibility for reviewing or verifying any prospectus or other documents in connection with this Fund. Accordingly, the FSRA has not approved this Prospectus or any other associated documents, nor has it taken any steps to verify the information set out in this Prospectus and has no responsibility for it.</w:t>
      </w:r>
    </w:p>
    <w:p w14:paraId="704A5AB6" w14:textId="77777777" w:rsidR="006140B5" w:rsidRPr="006140B5" w:rsidRDefault="006140B5" w:rsidP="006140B5">
      <w:pPr>
        <w:pStyle w:val="BodyText"/>
        <w:jc w:val="center"/>
        <w:rPr>
          <w:rFonts w:cs="Calibri"/>
          <w:b/>
          <w:bCs/>
          <w:caps/>
        </w:rPr>
      </w:pPr>
      <w:r w:rsidRPr="006140B5">
        <w:rPr>
          <w:rFonts w:cs="Calibri"/>
          <w:b/>
          <w:bCs/>
          <w:caps/>
        </w:rPr>
        <w:t>The Tokens to which this Prospectus relates may be illiquid and/or subject to restrictions on their resale. Prospective purchasers of the Tokens offered should conduct their own due diligence on the Tokens. If you do not understand the contents of this Prospectus, you should consult an authorised financial adviser.</w:t>
      </w:r>
    </w:p>
    <w:p w14:paraId="182324B4" w14:textId="77777777" w:rsidR="005B25DB" w:rsidRPr="004126E5" w:rsidRDefault="005B25DB" w:rsidP="005B25DB">
      <w:pPr>
        <w:pStyle w:val="BodyText"/>
        <w:rPr>
          <w:rFonts w:cs="Calibri"/>
        </w:rPr>
      </w:pPr>
    </w:p>
    <w:p w14:paraId="1743C584" w14:textId="77777777" w:rsidR="005B25DB" w:rsidRPr="004126E5" w:rsidRDefault="005B25DB" w:rsidP="005B25DB">
      <w:pPr>
        <w:pStyle w:val="BodyText"/>
        <w:rPr>
          <w:rFonts w:cs="Calibri"/>
        </w:rPr>
      </w:pPr>
    </w:p>
    <w:p w14:paraId="1DFD0E4E" w14:textId="77777777" w:rsidR="005B25DB" w:rsidRPr="004126E5" w:rsidRDefault="005B25DB" w:rsidP="005B25DB">
      <w:pPr>
        <w:pStyle w:val="BodyText"/>
        <w:jc w:val="center"/>
        <w:rPr>
          <w:rFonts w:cs="Calibri"/>
          <w:b/>
          <w:bCs/>
          <w:sz w:val="60"/>
          <w:szCs w:val="60"/>
        </w:rPr>
      </w:pPr>
      <w:r w:rsidRPr="004126E5">
        <w:rPr>
          <w:rFonts w:cs="Calibri"/>
          <w:b/>
          <w:bCs/>
          <w:sz w:val="60"/>
          <w:szCs w:val="60"/>
        </w:rPr>
        <w:t>CONFIDENTIAL PROSPECTUS</w:t>
      </w:r>
    </w:p>
    <w:p w14:paraId="101A8667" w14:textId="77777777" w:rsidR="005B25DB" w:rsidRPr="004126E5" w:rsidRDefault="005B25DB" w:rsidP="005B25DB">
      <w:pPr>
        <w:pStyle w:val="BodyText"/>
        <w:rPr>
          <w:rFonts w:cs="Calibri"/>
        </w:rPr>
      </w:pPr>
    </w:p>
    <w:p w14:paraId="64A2DC81" w14:textId="77777777" w:rsidR="005B25DB" w:rsidRPr="004126E5" w:rsidRDefault="005B25DB" w:rsidP="005B25DB">
      <w:pPr>
        <w:pStyle w:val="BodyText"/>
        <w:rPr>
          <w:rFonts w:cs="Calibri"/>
        </w:rPr>
      </w:pPr>
    </w:p>
    <w:p w14:paraId="56F23ED1" w14:textId="77777777" w:rsidR="005B25DB" w:rsidRPr="004126E5" w:rsidRDefault="005B25DB" w:rsidP="005B25DB">
      <w:pPr>
        <w:pStyle w:val="BodyText"/>
        <w:rPr>
          <w:rFonts w:cs="Calibri"/>
        </w:rPr>
      </w:pPr>
    </w:p>
    <w:p w14:paraId="2660BEBB" w14:textId="694761F8" w:rsidR="005B25DB" w:rsidRPr="004126E5" w:rsidRDefault="0009443E" w:rsidP="005B25DB">
      <w:pPr>
        <w:pStyle w:val="BodyText"/>
        <w:jc w:val="center"/>
        <w:rPr>
          <w:rFonts w:cs="Calibri"/>
          <w:b/>
          <w:bCs/>
          <w:sz w:val="40"/>
          <w:szCs w:val="40"/>
        </w:rPr>
      </w:pPr>
      <w:r>
        <w:rPr>
          <w:rFonts w:cs="Calibri"/>
          <w:b/>
          <w:bCs/>
          <w:sz w:val="40"/>
          <w:szCs w:val="40"/>
        </w:rPr>
        <w:t xml:space="preserve">Realize </w:t>
      </w:r>
      <w:r w:rsidR="00A6781F">
        <w:rPr>
          <w:rFonts w:cs="Calibri"/>
          <w:b/>
          <w:bCs/>
          <w:sz w:val="40"/>
          <w:szCs w:val="40"/>
        </w:rPr>
        <w:t>T-BILLS Fund</w:t>
      </w:r>
      <w:r>
        <w:rPr>
          <w:rFonts w:cs="Calibri"/>
          <w:b/>
          <w:bCs/>
          <w:sz w:val="40"/>
          <w:szCs w:val="40"/>
        </w:rPr>
        <w:t xml:space="preserve"> (OEIC) Limited</w:t>
      </w:r>
    </w:p>
    <w:p w14:paraId="55CF62D9" w14:textId="603D38FC" w:rsidR="005B25DB" w:rsidRPr="004126E5" w:rsidRDefault="005B25DB" w:rsidP="005B25DB">
      <w:pPr>
        <w:pStyle w:val="BodyText"/>
        <w:jc w:val="center"/>
        <w:rPr>
          <w:rFonts w:cs="Calibri"/>
        </w:rPr>
      </w:pPr>
      <w:r w:rsidRPr="004126E5">
        <w:rPr>
          <w:rFonts w:cs="Calibri"/>
        </w:rPr>
        <w:t>A</w:t>
      </w:r>
      <w:r w:rsidR="0009443E">
        <w:rPr>
          <w:rFonts w:cs="Calibri"/>
        </w:rPr>
        <w:t>n open</w:t>
      </w:r>
      <w:r w:rsidRPr="004126E5">
        <w:rPr>
          <w:rFonts w:cs="Calibri"/>
        </w:rPr>
        <w:t xml:space="preserve">-ended </w:t>
      </w:r>
      <w:r w:rsidR="0009443E">
        <w:rPr>
          <w:rFonts w:cs="Calibri"/>
        </w:rPr>
        <w:t>investment company</w:t>
      </w:r>
      <w:r w:rsidRPr="004126E5">
        <w:rPr>
          <w:rFonts w:cs="Calibri"/>
        </w:rPr>
        <w:t xml:space="preserve"> formed under the laws of the </w:t>
      </w:r>
      <w:r w:rsidR="000E6626">
        <w:rPr>
          <w:rFonts w:cs="Calibri"/>
        </w:rPr>
        <w:t>Abu Dhabi Global Market and classed as an Exempt Fund by the Financial Services and Regulatory Authority</w:t>
      </w:r>
    </w:p>
    <w:p w14:paraId="10100783" w14:textId="77777777" w:rsidR="005B25DB" w:rsidRPr="004126E5" w:rsidRDefault="005B25DB" w:rsidP="005B25DB">
      <w:pPr>
        <w:pStyle w:val="BodyText"/>
        <w:jc w:val="center"/>
        <w:rPr>
          <w:rFonts w:cs="Calibri"/>
          <w:szCs w:val="22"/>
        </w:rPr>
      </w:pPr>
    </w:p>
    <w:p w14:paraId="51FCD68D" w14:textId="77777777" w:rsidR="005B25DB" w:rsidRPr="004126E5" w:rsidRDefault="005B25DB" w:rsidP="005B25DB">
      <w:pPr>
        <w:pStyle w:val="BodyText"/>
        <w:rPr>
          <w:rFonts w:cs="Calibri"/>
        </w:rPr>
      </w:pPr>
    </w:p>
    <w:p w14:paraId="7E3BE4E8" w14:textId="77777777" w:rsidR="005B25DB" w:rsidRPr="004126E5" w:rsidRDefault="005B25DB" w:rsidP="005B25DB">
      <w:pPr>
        <w:pStyle w:val="BodyText"/>
        <w:rPr>
          <w:rFonts w:cs="Calibri"/>
        </w:rPr>
      </w:pPr>
    </w:p>
    <w:p w14:paraId="5AC986E0" w14:textId="77777777" w:rsidR="005B25DB" w:rsidRPr="004126E5" w:rsidRDefault="005B25DB" w:rsidP="005B25DB">
      <w:pPr>
        <w:pStyle w:val="BodyText"/>
        <w:rPr>
          <w:rFonts w:cs="Calibri"/>
        </w:rPr>
      </w:pPr>
    </w:p>
    <w:p w14:paraId="41F2DEC4" w14:textId="77777777" w:rsidR="005B25DB" w:rsidRPr="004126E5" w:rsidRDefault="005B25DB" w:rsidP="005B25DB">
      <w:pPr>
        <w:pStyle w:val="BodyText"/>
        <w:rPr>
          <w:rFonts w:cs="Calibri"/>
        </w:rPr>
      </w:pPr>
    </w:p>
    <w:p w14:paraId="1D58E38A" w14:textId="77777777" w:rsidR="005B25DB" w:rsidRPr="004126E5" w:rsidRDefault="005B25DB" w:rsidP="005B25DB">
      <w:pPr>
        <w:pStyle w:val="BodyText"/>
        <w:rPr>
          <w:rFonts w:cs="Calibri"/>
          <w:b/>
          <w:bCs/>
          <w:szCs w:val="22"/>
        </w:rPr>
      </w:pPr>
    </w:p>
    <w:p w14:paraId="54352DC3" w14:textId="77777777" w:rsidR="005B25DB" w:rsidRDefault="005B25DB" w:rsidP="005B25DB">
      <w:pPr>
        <w:pStyle w:val="BodyText"/>
        <w:jc w:val="center"/>
        <w:rPr>
          <w:rFonts w:cs="Calibri"/>
          <w:b/>
          <w:bCs/>
          <w:szCs w:val="22"/>
        </w:rPr>
      </w:pPr>
      <w:r w:rsidRPr="004126E5">
        <w:rPr>
          <w:rFonts w:cs="Calibri"/>
          <w:b/>
          <w:bCs/>
          <w:szCs w:val="22"/>
        </w:rPr>
        <w:t>_________________ 2024</w:t>
      </w:r>
    </w:p>
    <w:p w14:paraId="4F3A5246" w14:textId="77777777" w:rsidR="000E6626" w:rsidRDefault="000E6626" w:rsidP="005B25DB">
      <w:pPr>
        <w:pStyle w:val="BodyText"/>
        <w:jc w:val="center"/>
        <w:rPr>
          <w:rFonts w:cs="Calibri"/>
          <w:b/>
          <w:bCs/>
          <w:szCs w:val="22"/>
        </w:rPr>
      </w:pPr>
    </w:p>
    <w:p w14:paraId="5BEF98CE" w14:textId="77777777" w:rsidR="000E6626" w:rsidRDefault="000E6626" w:rsidP="005B25DB">
      <w:pPr>
        <w:pStyle w:val="BodyText"/>
        <w:jc w:val="center"/>
        <w:rPr>
          <w:rFonts w:cs="Calibri"/>
          <w:b/>
          <w:bCs/>
          <w:szCs w:val="22"/>
        </w:rPr>
      </w:pPr>
    </w:p>
    <w:p w14:paraId="73191E39" w14:textId="0747A0ED" w:rsidR="000E6626" w:rsidRPr="004126E5" w:rsidRDefault="000E6626" w:rsidP="005B25DB">
      <w:pPr>
        <w:pStyle w:val="BodyText"/>
        <w:jc w:val="center"/>
        <w:rPr>
          <w:rFonts w:cs="Calibri"/>
          <w:b/>
          <w:bCs/>
          <w:szCs w:val="22"/>
        </w:rPr>
      </w:pPr>
      <w:r>
        <w:rPr>
          <w:rFonts w:cs="Calibri"/>
          <w:b/>
          <w:bCs/>
          <w:szCs w:val="22"/>
        </w:rPr>
        <w:t>Fund Man</w:t>
      </w:r>
      <w:r w:rsidR="00492A29">
        <w:rPr>
          <w:rFonts w:cs="Calibri"/>
          <w:b/>
          <w:bCs/>
          <w:szCs w:val="22"/>
        </w:rPr>
        <w:t>a</w:t>
      </w:r>
      <w:r>
        <w:rPr>
          <w:rFonts w:cs="Calibri"/>
          <w:b/>
          <w:bCs/>
          <w:szCs w:val="22"/>
        </w:rPr>
        <w:t xml:space="preserve">ger: </w:t>
      </w:r>
      <w:proofErr w:type="spellStart"/>
      <w:r>
        <w:rPr>
          <w:rFonts w:cs="Calibri"/>
          <w:b/>
          <w:bCs/>
          <w:szCs w:val="22"/>
        </w:rPr>
        <w:t>Neovision</w:t>
      </w:r>
      <w:proofErr w:type="spellEnd"/>
      <w:r>
        <w:rPr>
          <w:rFonts w:cs="Calibri"/>
          <w:b/>
          <w:bCs/>
          <w:szCs w:val="22"/>
        </w:rPr>
        <w:t xml:space="preserve"> Wealth Management Limited</w:t>
      </w:r>
    </w:p>
    <w:p w14:paraId="77534541" w14:textId="77777777" w:rsidR="005B25DB" w:rsidRPr="004126E5" w:rsidRDefault="005B25DB" w:rsidP="005B25DB">
      <w:pPr>
        <w:pStyle w:val="BodyText"/>
        <w:rPr>
          <w:rFonts w:cs="Calibri"/>
        </w:rPr>
      </w:pPr>
    </w:p>
    <w:p w14:paraId="40EF6ED6" w14:textId="77777777" w:rsidR="005B25DB" w:rsidRPr="004126E5" w:rsidRDefault="005B25DB" w:rsidP="005B25DB">
      <w:pPr>
        <w:pStyle w:val="BodyText"/>
        <w:rPr>
          <w:rFonts w:cs="Calibri"/>
        </w:rPr>
        <w:sectPr w:rsidR="005B25DB" w:rsidRPr="004126E5" w:rsidSect="0070389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567" w:footer="425" w:gutter="0"/>
          <w:paperSrc w:first="7" w:other="7"/>
          <w:cols w:space="708"/>
          <w:docGrid w:linePitch="360"/>
        </w:sectPr>
      </w:pPr>
    </w:p>
    <w:p w14:paraId="4C724320" w14:textId="0FD15B0B" w:rsidR="006140B5" w:rsidRPr="006140B5" w:rsidRDefault="005B25DB" w:rsidP="005B25DB">
      <w:pPr>
        <w:pStyle w:val="BodyText"/>
        <w:rPr>
          <w:rFonts w:cs="Calibri"/>
        </w:rPr>
      </w:pPr>
      <w:r w:rsidRPr="004126E5">
        <w:rPr>
          <w:rFonts w:cs="Calibri"/>
        </w:rPr>
        <w:lastRenderedPageBreak/>
        <w:t>This prospectus (“</w:t>
      </w:r>
      <w:r w:rsidRPr="004126E5">
        <w:rPr>
          <w:rFonts w:cs="Calibri"/>
          <w:b/>
          <w:bCs/>
        </w:rPr>
        <w:t>Prospectus</w:t>
      </w:r>
      <w:r w:rsidRPr="004126E5">
        <w:rPr>
          <w:rFonts w:cs="Calibri"/>
        </w:rPr>
        <w:t>”) relates to a</w:t>
      </w:r>
      <w:r w:rsidR="0009443E">
        <w:rPr>
          <w:rFonts w:cs="Calibri"/>
        </w:rPr>
        <w:t>n</w:t>
      </w:r>
      <w:r w:rsidRPr="004126E5">
        <w:rPr>
          <w:rFonts w:cs="Calibri"/>
        </w:rPr>
        <w:t xml:space="preserve"> </w:t>
      </w:r>
      <w:r w:rsidR="0009443E">
        <w:rPr>
          <w:rFonts w:cs="Calibri"/>
        </w:rPr>
        <w:t>Exempt</w:t>
      </w:r>
      <w:r w:rsidRPr="004126E5">
        <w:rPr>
          <w:rFonts w:cs="Calibri"/>
        </w:rPr>
        <w:t xml:space="preserve"> Fund established and existing in accordance with the Financial Services and Markets Regulations 2015</w:t>
      </w:r>
      <w:r w:rsidR="00B847C0">
        <w:rPr>
          <w:rFonts w:cs="Calibri"/>
        </w:rPr>
        <w:t xml:space="preserve"> (and other applicable laws in the </w:t>
      </w:r>
      <w:r w:rsidR="00EC4980">
        <w:rPr>
          <w:rFonts w:cs="Calibri"/>
        </w:rPr>
        <w:t>Abu Dhabi Global Market (the "</w:t>
      </w:r>
      <w:r w:rsidR="00B847C0" w:rsidRPr="00EC4980">
        <w:rPr>
          <w:rFonts w:cs="Calibri"/>
          <w:b/>
          <w:bCs/>
        </w:rPr>
        <w:t>ADGM</w:t>
      </w:r>
      <w:r w:rsidR="00EC4980">
        <w:rPr>
          <w:rFonts w:cs="Calibri"/>
        </w:rPr>
        <w:t>"</w:t>
      </w:r>
      <w:r w:rsidRPr="004126E5">
        <w:rPr>
          <w:rFonts w:cs="Calibri"/>
        </w:rPr>
        <w:t xml:space="preserve"> </w:t>
      </w:r>
      <w:r w:rsidR="00EC4980">
        <w:rPr>
          <w:rFonts w:cs="Calibri"/>
        </w:rPr>
        <w:t xml:space="preserve">and </w:t>
      </w:r>
      <w:r w:rsidRPr="004126E5">
        <w:rPr>
          <w:rFonts w:cs="Calibri"/>
        </w:rPr>
        <w:t>the “</w:t>
      </w:r>
      <w:r w:rsidRPr="004126E5">
        <w:rPr>
          <w:rFonts w:cs="Calibri"/>
          <w:b/>
          <w:bCs/>
        </w:rPr>
        <w:t>ADGM Laws</w:t>
      </w:r>
      <w:r w:rsidRPr="004126E5">
        <w:rPr>
          <w:rFonts w:cs="Calibri"/>
        </w:rPr>
        <w:t>”) and the Funds Rules (the “</w:t>
      </w:r>
      <w:r w:rsidRPr="004126E5">
        <w:rPr>
          <w:rFonts w:cs="Calibri"/>
          <w:b/>
          <w:bCs/>
        </w:rPr>
        <w:t>ADGM Rules</w:t>
      </w:r>
      <w:r w:rsidRPr="004126E5">
        <w:rPr>
          <w:rFonts w:cs="Calibri"/>
        </w:rPr>
        <w:t>”) of the Abu Dhabi Global Market (the “</w:t>
      </w:r>
      <w:r w:rsidRPr="004126E5">
        <w:rPr>
          <w:rFonts w:cs="Calibri"/>
          <w:b/>
          <w:bCs/>
        </w:rPr>
        <w:t>ADGM</w:t>
      </w:r>
      <w:r w:rsidRPr="004126E5">
        <w:rPr>
          <w:rFonts w:cs="Calibri"/>
        </w:rPr>
        <w:t>”) Financial Services Regulatory Authority (the “</w:t>
      </w:r>
      <w:r w:rsidRPr="004126E5">
        <w:rPr>
          <w:rFonts w:cs="Calibri"/>
          <w:b/>
          <w:bCs/>
        </w:rPr>
        <w:t>FSRA</w:t>
      </w:r>
      <w:r w:rsidRPr="004126E5">
        <w:rPr>
          <w:rFonts w:cs="Calibri"/>
        </w:rPr>
        <w:t>”).</w:t>
      </w:r>
    </w:p>
    <w:p w14:paraId="3E28B650" w14:textId="429D7660" w:rsidR="005B25DB" w:rsidRPr="004126E5" w:rsidRDefault="005B25DB" w:rsidP="005B25DB">
      <w:pPr>
        <w:pStyle w:val="BodyText"/>
        <w:rPr>
          <w:rFonts w:cs="Calibri"/>
        </w:rPr>
      </w:pPr>
      <w:r w:rsidRPr="004126E5">
        <w:rPr>
          <w:rFonts w:cs="Calibri"/>
        </w:rPr>
        <w:t>This Prospectus is intended for Professional Clients only, who can make a minimum subscription of US$50,000 and, therefore, must not be delivered to, or relied upon by, a Retail Client.</w:t>
      </w:r>
    </w:p>
    <w:p w14:paraId="381656D1" w14:textId="77777777" w:rsidR="005B25DB" w:rsidRPr="004126E5" w:rsidRDefault="005B25DB" w:rsidP="00531D5D">
      <w:pPr>
        <w:pStyle w:val="CentredHeadingCaps"/>
        <w:rPr>
          <w:rFonts w:cs="Calibri"/>
        </w:rPr>
      </w:pPr>
      <w:r w:rsidRPr="004126E5">
        <w:rPr>
          <w:rFonts w:cs="Calibri"/>
        </w:rPr>
        <w:t>IMPORTANT NOTICES</w:t>
      </w:r>
    </w:p>
    <w:p w14:paraId="3954993D" w14:textId="4B2DEE0F" w:rsidR="005B25DB" w:rsidRPr="004126E5" w:rsidRDefault="005B25DB" w:rsidP="005B25DB">
      <w:pPr>
        <w:pStyle w:val="BodyText"/>
        <w:rPr>
          <w:rFonts w:cs="Calibri"/>
        </w:rPr>
      </w:pPr>
      <w:r w:rsidRPr="004126E5">
        <w:rPr>
          <w:rFonts w:cs="Calibri"/>
        </w:rPr>
        <w:t xml:space="preserve">This Prospectus is intended solely for use, on a confidential basis, by those persons to whom it has been delivered for the purpose of enabling the recipient to evaluate an investment in </w:t>
      </w:r>
      <w:r w:rsidR="0009443E">
        <w:rPr>
          <w:rFonts w:cs="Calibri"/>
        </w:rPr>
        <w:t>Tokens</w:t>
      </w:r>
      <w:r w:rsidRPr="004126E5">
        <w:rPr>
          <w:rFonts w:cs="Calibri"/>
        </w:rPr>
        <w:t xml:space="preserve"> in </w:t>
      </w:r>
      <w:r w:rsidR="0009443E">
        <w:rPr>
          <w:rFonts w:cs="Calibri"/>
        </w:rPr>
        <w:t xml:space="preserve">Realize </w:t>
      </w:r>
      <w:r w:rsidR="00D6653D">
        <w:rPr>
          <w:rFonts w:cs="Calibri"/>
        </w:rPr>
        <w:t>T-BILLS</w:t>
      </w:r>
      <w:r w:rsidR="0009443E">
        <w:rPr>
          <w:rFonts w:cs="Calibri"/>
        </w:rPr>
        <w:t xml:space="preserve"> Fund (OEIC) Limited</w:t>
      </w:r>
      <w:r w:rsidRPr="004126E5">
        <w:rPr>
          <w:rFonts w:cs="Calibri"/>
        </w:rPr>
        <w:t xml:space="preserve"> (the “</w:t>
      </w:r>
      <w:r w:rsidRPr="004126E5">
        <w:rPr>
          <w:rFonts w:cs="Calibri"/>
          <w:b/>
          <w:bCs/>
        </w:rPr>
        <w:t>Fund</w:t>
      </w:r>
      <w:r w:rsidRPr="004126E5">
        <w:rPr>
          <w:rFonts w:cs="Calibri"/>
        </w:rPr>
        <w:t xml:space="preserve">”). Words and expressions defined in </w:t>
      </w:r>
      <w:r w:rsidR="00936E68" w:rsidRPr="004126E5">
        <w:rPr>
          <w:rFonts w:cs="Calibri"/>
        </w:rPr>
        <w:fldChar w:fldCharType="begin"/>
      </w:r>
      <w:r w:rsidR="00936E68" w:rsidRPr="004126E5">
        <w:rPr>
          <w:rFonts w:cs="Calibri"/>
        </w:rPr>
        <w:instrText xml:space="preserve"> REF _Ref166760329 \n \h </w:instrText>
      </w:r>
      <w:r w:rsidR="00CB4289" w:rsidRPr="004126E5">
        <w:rPr>
          <w:rFonts w:cs="Calibri"/>
        </w:rPr>
        <w:instrText xml:space="preserve"> \* MERGEFORMAT </w:instrText>
      </w:r>
      <w:r w:rsidR="00936E68" w:rsidRPr="004126E5">
        <w:rPr>
          <w:rFonts w:cs="Calibri"/>
        </w:rPr>
      </w:r>
      <w:r w:rsidR="00936E68" w:rsidRPr="004126E5">
        <w:rPr>
          <w:rFonts w:cs="Calibri"/>
        </w:rPr>
        <w:fldChar w:fldCharType="separate"/>
      </w:r>
      <w:r w:rsidR="00153DFE">
        <w:rPr>
          <w:rFonts w:cs="Calibri"/>
        </w:rPr>
        <w:t>Appendix A</w:t>
      </w:r>
      <w:r w:rsidR="00936E68" w:rsidRPr="004126E5">
        <w:rPr>
          <w:rFonts w:cs="Calibri"/>
        </w:rPr>
        <w:fldChar w:fldCharType="end"/>
      </w:r>
      <w:r w:rsidRPr="004126E5">
        <w:rPr>
          <w:rFonts w:cs="Calibri"/>
        </w:rPr>
        <w:t xml:space="preserve"> shall have the same meanings </w:t>
      </w:r>
      <w:proofErr w:type="gramStart"/>
      <w:r w:rsidRPr="004126E5">
        <w:rPr>
          <w:rFonts w:cs="Calibri"/>
        </w:rPr>
        <w:t>where</w:t>
      </w:r>
      <w:proofErr w:type="gramEnd"/>
      <w:r w:rsidRPr="004126E5">
        <w:rPr>
          <w:rFonts w:cs="Calibri"/>
        </w:rPr>
        <w:t xml:space="preserve"> used in this Prospectus. </w:t>
      </w:r>
    </w:p>
    <w:p w14:paraId="53DD4728" w14:textId="18F80332" w:rsidR="005B25DB" w:rsidRDefault="005B25DB" w:rsidP="005B25DB">
      <w:pPr>
        <w:pStyle w:val="BodyText"/>
        <w:rPr>
          <w:rFonts w:cs="Calibri"/>
        </w:rPr>
      </w:pPr>
      <w:r w:rsidRPr="004126E5">
        <w:rPr>
          <w:rFonts w:cs="Calibri"/>
        </w:rPr>
        <w:t>The information contained in this Prospectus is intended solely for selected, qualified investors having the necessary expertise to determine whether to accept the risks inherent in such an investment and who can make a minimum subscription of US$</w:t>
      </w:r>
      <w:r w:rsidR="0009443E">
        <w:rPr>
          <w:rFonts w:cs="Calibri"/>
        </w:rPr>
        <w:t>5</w:t>
      </w:r>
      <w:r w:rsidRPr="004126E5">
        <w:rPr>
          <w:rFonts w:cs="Calibri"/>
        </w:rPr>
        <w:t>0,000</w:t>
      </w:r>
      <w:r w:rsidR="00431DC8">
        <w:rPr>
          <w:rFonts w:cs="Calibri"/>
        </w:rPr>
        <w:t xml:space="preserve"> (or equivalent in another currency or digital assets as agreed with the Fund Manager)</w:t>
      </w:r>
      <w:r w:rsidRPr="004126E5">
        <w:rPr>
          <w:rFonts w:cs="Calibri"/>
        </w:rPr>
        <w:t>, as specified in the FSRA Rules and, therefore, must not be delivered to, or relied upon by, a Retail Client or a qualified investor who is not able to make that minimum subscription.</w:t>
      </w:r>
    </w:p>
    <w:p w14:paraId="5BB338EE" w14:textId="77777777" w:rsidR="006140B5" w:rsidRPr="006140B5" w:rsidRDefault="006140B5" w:rsidP="006140B5">
      <w:pPr>
        <w:pStyle w:val="BodyText"/>
        <w:rPr>
          <w:rFonts w:cs="Calibri"/>
        </w:rPr>
      </w:pPr>
      <w:r w:rsidRPr="006140B5">
        <w:rPr>
          <w:rFonts w:cs="Calibri"/>
        </w:rPr>
        <w:t>When considering investment in a Fund you should consider the fact that some Fund products use leverage and other speculative investment practices that may increase the risk of investment loss, can be illiquid, may involve complex tax structures, often charge high fees, and in many cases the underlying investments are not transparent and are known only to the Fund Manager.</w:t>
      </w:r>
    </w:p>
    <w:p w14:paraId="3177CAFE" w14:textId="4905D4A2" w:rsidR="006140B5" w:rsidRPr="004126E5" w:rsidRDefault="006140B5" w:rsidP="005B25DB">
      <w:pPr>
        <w:pStyle w:val="BodyText"/>
        <w:rPr>
          <w:rFonts w:cs="Calibri"/>
        </w:rPr>
      </w:pPr>
      <w:r w:rsidRPr="006140B5">
        <w:rPr>
          <w:rFonts w:cs="Calibri"/>
        </w:rPr>
        <w:t xml:space="preserve">Returns from Funds can be </w:t>
      </w:r>
      <w:proofErr w:type="gramStart"/>
      <w:r w:rsidRPr="006140B5">
        <w:rPr>
          <w:rFonts w:cs="Calibri"/>
        </w:rPr>
        <w:t>volatile</w:t>
      </w:r>
      <w:proofErr w:type="gramEnd"/>
      <w:r w:rsidRPr="006140B5">
        <w:rPr>
          <w:rFonts w:cs="Calibri"/>
        </w:rPr>
        <w:t xml:space="preserve"> and you may lose all or part of your investment. With respect to single manager products the manager has total trading </w:t>
      </w:r>
      <w:proofErr w:type="gramStart"/>
      <w:r w:rsidRPr="006140B5">
        <w:rPr>
          <w:rFonts w:cs="Calibri"/>
        </w:rPr>
        <w:t>authority</w:t>
      </w:r>
      <w:proofErr w:type="gramEnd"/>
      <w:r w:rsidRPr="006140B5">
        <w:rPr>
          <w:rFonts w:cs="Calibri"/>
        </w:rPr>
        <w:t xml:space="preserve"> and this could mean a lack of diversification and higher risk. The Fund may be subject to substantial expenses that are generally offset by trading profits and other income. A portion of those fees is paid to the Fund Manager.</w:t>
      </w:r>
    </w:p>
    <w:p w14:paraId="6C4DC3A1" w14:textId="77777777" w:rsidR="005B25DB" w:rsidRPr="004126E5" w:rsidRDefault="005B25DB" w:rsidP="00531D5D">
      <w:pPr>
        <w:pStyle w:val="CentredHeadingCaps"/>
        <w:rPr>
          <w:rFonts w:cs="Calibri"/>
        </w:rPr>
      </w:pPr>
      <w:r w:rsidRPr="004126E5">
        <w:rPr>
          <w:rFonts w:cs="Calibri"/>
        </w:rPr>
        <w:t>RESPONSIBILITY</w:t>
      </w:r>
    </w:p>
    <w:p w14:paraId="67B426B4" w14:textId="7B71A315" w:rsidR="005B25DB" w:rsidRPr="004126E5" w:rsidRDefault="005B25DB" w:rsidP="005B25DB">
      <w:pPr>
        <w:pStyle w:val="BodyText"/>
        <w:rPr>
          <w:rFonts w:cs="Calibri"/>
        </w:rPr>
      </w:pPr>
      <w:r w:rsidRPr="004126E5">
        <w:rPr>
          <w:rFonts w:cs="Calibri"/>
        </w:rPr>
        <w:t xml:space="preserve">This Prospectus has been prepared for the purpose of a private placement </w:t>
      </w:r>
      <w:r w:rsidR="0009443E">
        <w:rPr>
          <w:rFonts w:cs="Calibri"/>
        </w:rPr>
        <w:t xml:space="preserve">and initial token offering </w:t>
      </w:r>
      <w:r w:rsidRPr="004126E5">
        <w:rPr>
          <w:rFonts w:cs="Calibri"/>
        </w:rPr>
        <w:t xml:space="preserve">that is being arranged by </w:t>
      </w:r>
      <w:proofErr w:type="spellStart"/>
      <w:r w:rsidR="00DF5C35">
        <w:rPr>
          <w:rFonts w:cs="Calibri"/>
        </w:rPr>
        <w:t>Neov</w:t>
      </w:r>
      <w:r w:rsidR="0009443E">
        <w:rPr>
          <w:rFonts w:cs="Calibri"/>
        </w:rPr>
        <w:t>ision</w:t>
      </w:r>
      <w:proofErr w:type="spellEnd"/>
      <w:r w:rsidR="0009443E">
        <w:rPr>
          <w:rFonts w:cs="Calibri"/>
        </w:rPr>
        <w:t xml:space="preserve"> Wealth Management Limited</w:t>
      </w:r>
      <w:r w:rsidRPr="004126E5">
        <w:rPr>
          <w:rFonts w:cs="Calibri"/>
        </w:rPr>
        <w:t xml:space="preserve"> (the “</w:t>
      </w:r>
      <w:r w:rsidRPr="004126E5">
        <w:rPr>
          <w:rFonts w:cs="Calibri"/>
          <w:b/>
          <w:bCs/>
        </w:rPr>
        <w:t>Fund Manager</w:t>
      </w:r>
      <w:r w:rsidRPr="004126E5">
        <w:rPr>
          <w:rFonts w:cs="Calibri"/>
        </w:rPr>
        <w:t>”)</w:t>
      </w:r>
      <w:r w:rsidR="0009443E">
        <w:rPr>
          <w:rFonts w:cs="Calibri"/>
        </w:rPr>
        <w:t xml:space="preserve"> </w:t>
      </w:r>
      <w:r w:rsidRPr="004126E5">
        <w:rPr>
          <w:rFonts w:cs="Calibri"/>
        </w:rPr>
        <w:t>and conducted pursuant to the ADGM Laws and the ADGM Rules. This Prospectus is not to be reproduced or redistributed without the prior written consent of the Fund Manager.</w:t>
      </w:r>
    </w:p>
    <w:p w14:paraId="2B3F0500" w14:textId="78043DEA" w:rsidR="005B25DB" w:rsidRPr="004126E5" w:rsidRDefault="005B25DB" w:rsidP="005B25DB">
      <w:pPr>
        <w:pStyle w:val="BodyText"/>
        <w:rPr>
          <w:rFonts w:cs="Calibri"/>
        </w:rPr>
      </w:pPr>
      <w:r w:rsidRPr="004126E5">
        <w:rPr>
          <w:rFonts w:cs="Calibri"/>
        </w:rPr>
        <w:t xml:space="preserve">The </w:t>
      </w:r>
      <w:r w:rsidR="00DF22AB">
        <w:rPr>
          <w:rFonts w:cs="Calibri"/>
        </w:rPr>
        <w:t>Directors</w:t>
      </w:r>
      <w:r w:rsidRPr="004126E5">
        <w:rPr>
          <w:rFonts w:cs="Calibri"/>
        </w:rPr>
        <w:t xml:space="preserve"> accept responsibility for the information contained in this Prospectus. To the best of the knowledge and belief of the Fund Manager (who has taken all reasonable care to ensure such is the case) this Prospectus contains all information which would be relevant to a prospective investor (as contemplated by this Prospectus), investing in a</w:t>
      </w:r>
      <w:r w:rsidR="0009443E">
        <w:rPr>
          <w:rFonts w:cs="Calibri"/>
        </w:rPr>
        <w:t>n exempt fund</w:t>
      </w:r>
      <w:r w:rsidRPr="004126E5">
        <w:rPr>
          <w:rFonts w:cs="Calibri"/>
        </w:rPr>
        <w:t xml:space="preserve">, in determining whether to acquire </w:t>
      </w:r>
      <w:r w:rsidR="0009443E">
        <w:rPr>
          <w:rFonts w:cs="Calibri"/>
        </w:rPr>
        <w:t>Tokens</w:t>
      </w:r>
      <w:r w:rsidRPr="004126E5">
        <w:rPr>
          <w:rFonts w:cs="Calibri"/>
        </w:rPr>
        <w:t xml:space="preserve"> and the information contained in this Prospectus is in accordance with the facts and does not omit anything likely to affect the import of such information. However, certain of the information contained in this Prospectus, and identified as such, has been obtained from published sources prepared by other parties and the </w:t>
      </w:r>
      <w:r w:rsidR="00DF22AB">
        <w:rPr>
          <w:rFonts w:cs="Calibri"/>
        </w:rPr>
        <w:t>Directors</w:t>
      </w:r>
      <w:r w:rsidRPr="004126E5">
        <w:rPr>
          <w:rFonts w:cs="Calibri"/>
        </w:rPr>
        <w:t xml:space="preserve"> do not assume any responsibility for the accuracy or completeness of such information. </w:t>
      </w:r>
    </w:p>
    <w:p w14:paraId="0A48ADAA" w14:textId="5DA14FA0" w:rsidR="005B25DB" w:rsidRPr="004126E5" w:rsidRDefault="005B25DB" w:rsidP="005B25DB">
      <w:pPr>
        <w:pStyle w:val="BodyText"/>
        <w:rPr>
          <w:rFonts w:cs="Calibri"/>
        </w:rPr>
      </w:pPr>
      <w:r w:rsidRPr="004126E5">
        <w:rPr>
          <w:rFonts w:cs="Calibri"/>
        </w:rPr>
        <w:t xml:space="preserve">The Fund Manager is authorised by the </w:t>
      </w:r>
      <w:r w:rsidR="00EC4980">
        <w:rPr>
          <w:rFonts w:cs="Calibri"/>
        </w:rPr>
        <w:t>ADGM Financial Service Regulatory Authority (the "</w:t>
      </w:r>
      <w:r w:rsidR="00EC4980" w:rsidRPr="00EC4980">
        <w:rPr>
          <w:rFonts w:cs="Calibri"/>
          <w:b/>
          <w:bCs/>
        </w:rPr>
        <w:t>FSRA</w:t>
      </w:r>
      <w:r w:rsidR="00EC4980">
        <w:rPr>
          <w:rFonts w:cs="Calibri"/>
        </w:rPr>
        <w:t>")</w:t>
      </w:r>
      <w:r w:rsidRPr="004126E5">
        <w:rPr>
          <w:rFonts w:cs="Calibri"/>
        </w:rPr>
        <w:t xml:space="preserve"> to manage the Fund, as a domestic, </w:t>
      </w:r>
      <w:r w:rsidR="0009443E">
        <w:rPr>
          <w:rFonts w:cs="Calibri"/>
        </w:rPr>
        <w:t>exempt</w:t>
      </w:r>
      <w:r w:rsidRPr="004126E5">
        <w:rPr>
          <w:rFonts w:cs="Calibri"/>
        </w:rPr>
        <w:t xml:space="preserve"> fund under the ADGM Rules. In giving these authorisations, the FSRA does not vouch for the financial soundness of the Fund or for the correctness of any of the statements made, or opinions expressed, regarding the Fund. Furthermore, the FSRA will not bear any responsibility to any person holding </w:t>
      </w:r>
      <w:r w:rsidR="0009443E">
        <w:rPr>
          <w:rFonts w:cs="Calibri"/>
        </w:rPr>
        <w:t>Tokens</w:t>
      </w:r>
      <w:r w:rsidRPr="004126E5">
        <w:rPr>
          <w:rFonts w:cs="Calibri"/>
        </w:rPr>
        <w:t xml:space="preserve"> for any loss resulting from reliance on any information </w:t>
      </w:r>
      <w:r w:rsidRPr="004126E5">
        <w:rPr>
          <w:rFonts w:cs="Calibri"/>
        </w:rPr>
        <w:lastRenderedPageBreak/>
        <w:t xml:space="preserve">contained in this Prospectus. No application has been made for the </w:t>
      </w:r>
      <w:r w:rsidR="0009443E">
        <w:rPr>
          <w:rFonts w:cs="Calibri"/>
        </w:rPr>
        <w:t>Tokens</w:t>
      </w:r>
      <w:r w:rsidRPr="004126E5">
        <w:rPr>
          <w:rFonts w:cs="Calibri"/>
        </w:rPr>
        <w:t xml:space="preserve"> to be listed on any stock exchange.</w:t>
      </w:r>
    </w:p>
    <w:p w14:paraId="712E74AC" w14:textId="75773A6C" w:rsidR="005B25DB" w:rsidRDefault="005B25DB" w:rsidP="005B25DB">
      <w:pPr>
        <w:pStyle w:val="BodyText"/>
        <w:rPr>
          <w:rFonts w:cs="Calibri"/>
        </w:rPr>
      </w:pPr>
      <w:proofErr w:type="spellStart"/>
      <w:r w:rsidRPr="004126E5">
        <w:rPr>
          <w:rFonts w:cs="Calibri"/>
        </w:rPr>
        <w:t>Addleshaw</w:t>
      </w:r>
      <w:proofErr w:type="spellEnd"/>
      <w:r w:rsidRPr="004126E5">
        <w:rPr>
          <w:rFonts w:cs="Calibri"/>
        </w:rPr>
        <w:t xml:space="preserve"> Goddard (Middle East) LLP has been engaged by the Fund to provide legal advice as to matters of ADGM law </w:t>
      </w:r>
      <w:r w:rsidR="0009443E">
        <w:rPr>
          <w:rFonts w:cs="Calibri"/>
        </w:rPr>
        <w:t xml:space="preserve">and rules </w:t>
      </w:r>
      <w:r w:rsidRPr="004126E5">
        <w:rPr>
          <w:rFonts w:cs="Calibri"/>
        </w:rPr>
        <w:t xml:space="preserve">and to certain issues relating to the offering and promotion of the </w:t>
      </w:r>
      <w:r w:rsidR="0009443E">
        <w:rPr>
          <w:rFonts w:cs="Calibri"/>
        </w:rPr>
        <w:t>Tokens</w:t>
      </w:r>
      <w:r w:rsidRPr="004126E5">
        <w:rPr>
          <w:rFonts w:cs="Calibri"/>
        </w:rPr>
        <w:t xml:space="preserve"> in, or from, the ADGM only. </w:t>
      </w:r>
      <w:proofErr w:type="spellStart"/>
      <w:r w:rsidRPr="004126E5">
        <w:rPr>
          <w:rFonts w:cs="Calibri"/>
        </w:rPr>
        <w:t>Addleshaw</w:t>
      </w:r>
      <w:proofErr w:type="spellEnd"/>
      <w:r w:rsidRPr="004126E5">
        <w:rPr>
          <w:rFonts w:cs="Calibri"/>
        </w:rPr>
        <w:t xml:space="preserve"> Goddard (Middle East) LLP is not, and has not been responsible for, nor has it verified, any information in this Prospectus.</w:t>
      </w:r>
    </w:p>
    <w:p w14:paraId="2E6A4217" w14:textId="18A676FE" w:rsidR="0009443E" w:rsidRPr="004126E5" w:rsidRDefault="0009443E" w:rsidP="0009443E">
      <w:pPr>
        <w:pStyle w:val="CentredHeadingCaps"/>
        <w:rPr>
          <w:rFonts w:cs="Calibri"/>
        </w:rPr>
      </w:pPr>
      <w:r>
        <w:rPr>
          <w:rFonts w:cs="Calibri"/>
        </w:rPr>
        <w:t>TOKEN</w:t>
      </w:r>
      <w:r w:rsidR="00D362F9">
        <w:rPr>
          <w:rFonts w:cs="Calibri"/>
        </w:rPr>
        <w:t xml:space="preserve"> OFFERING</w:t>
      </w:r>
      <w:r w:rsidR="00D85975">
        <w:rPr>
          <w:rFonts w:cs="Calibri"/>
        </w:rPr>
        <w:t xml:space="preserve"> (UNITS AND TOKENS)</w:t>
      </w:r>
    </w:p>
    <w:p w14:paraId="5747DF16" w14:textId="008549AE" w:rsidR="00D85975" w:rsidRPr="00D85975" w:rsidRDefault="0009443E" w:rsidP="00D85975">
      <w:pPr>
        <w:pStyle w:val="BodyText"/>
        <w:rPr>
          <w:rFonts w:cs="Calibri"/>
        </w:rPr>
      </w:pPr>
      <w:r w:rsidRPr="004126E5">
        <w:rPr>
          <w:rFonts w:cs="Calibri"/>
        </w:rPr>
        <w:t xml:space="preserve">The </w:t>
      </w:r>
      <w:r>
        <w:rPr>
          <w:rFonts w:cs="Calibri"/>
        </w:rPr>
        <w:t xml:space="preserve">units being issued by the Fund to prospectus investors </w:t>
      </w:r>
      <w:r w:rsidR="0060430F">
        <w:rPr>
          <w:rFonts w:cs="Calibri"/>
        </w:rPr>
        <w:t xml:space="preserve">are being issued in </w:t>
      </w:r>
      <w:r w:rsidR="00D85975">
        <w:rPr>
          <w:rFonts w:cs="Calibri"/>
        </w:rPr>
        <w:t xml:space="preserve">digitalised form as tokens, </w:t>
      </w:r>
      <w:r w:rsidR="00D85975" w:rsidRPr="007009A3">
        <w:rPr>
          <w:color w:val="000000"/>
        </w:rPr>
        <w:t xml:space="preserve">where the securities of the </w:t>
      </w:r>
      <w:r w:rsidR="00D85975">
        <w:rPr>
          <w:color w:val="000000"/>
        </w:rPr>
        <w:t>F</w:t>
      </w:r>
      <w:r w:rsidR="00D85975" w:rsidRPr="007009A3">
        <w:rPr>
          <w:color w:val="000000"/>
        </w:rPr>
        <w:t>und are directly tokenised, i</w:t>
      </w:r>
      <w:r w:rsidR="00EC4980">
        <w:rPr>
          <w:color w:val="000000"/>
        </w:rPr>
        <w:t>.</w:t>
      </w:r>
      <w:r w:rsidR="00D85975" w:rsidRPr="007009A3">
        <w:rPr>
          <w:color w:val="000000"/>
        </w:rPr>
        <w:t>e</w:t>
      </w:r>
      <w:r w:rsidR="00EC4980">
        <w:rPr>
          <w:color w:val="000000"/>
        </w:rPr>
        <w:t>.</w:t>
      </w:r>
      <w:r w:rsidR="00D85975" w:rsidRPr="007009A3">
        <w:rPr>
          <w:color w:val="000000"/>
        </w:rPr>
        <w:t xml:space="preserve">, the </w:t>
      </w:r>
      <w:r w:rsidR="00D85975">
        <w:rPr>
          <w:color w:val="000000"/>
        </w:rPr>
        <w:t>F</w:t>
      </w:r>
      <w:r w:rsidR="00D85975" w:rsidRPr="007009A3">
        <w:rPr>
          <w:color w:val="000000"/>
        </w:rPr>
        <w:t xml:space="preserve">und </w:t>
      </w:r>
      <w:r w:rsidR="00D85975">
        <w:rPr>
          <w:color w:val="000000"/>
        </w:rPr>
        <w:t>is</w:t>
      </w:r>
      <w:r w:rsidR="00D85975" w:rsidRPr="007009A3">
        <w:rPr>
          <w:color w:val="000000"/>
        </w:rPr>
        <w:t xml:space="preserve"> issu</w:t>
      </w:r>
      <w:r w:rsidR="00D85975">
        <w:rPr>
          <w:color w:val="000000"/>
        </w:rPr>
        <w:t>ing</w:t>
      </w:r>
      <w:r w:rsidR="00D85975" w:rsidRPr="007009A3">
        <w:rPr>
          <w:color w:val="000000"/>
        </w:rPr>
        <w:t xml:space="preserve"> security tokens</w:t>
      </w:r>
      <w:r w:rsidR="00D85975">
        <w:rPr>
          <w:color w:val="000000"/>
        </w:rPr>
        <w:t>, which essentially represent 'units' in the Fund, or a right to the underlying assets (the "Tokens")</w:t>
      </w:r>
      <w:r w:rsidR="00D85975">
        <w:rPr>
          <w:rFonts w:cs="Calibri"/>
        </w:rPr>
        <w:t xml:space="preserve">.  </w:t>
      </w:r>
      <w:r w:rsidR="00D85975" w:rsidRPr="00831CCB">
        <w:rPr>
          <w:rFonts w:cs="Calibri"/>
          <w:color w:val="000000"/>
          <w:szCs w:val="22"/>
        </w:rPr>
        <w:t xml:space="preserve">The Tokens will afford the Token </w:t>
      </w:r>
      <w:r w:rsidR="00492A29">
        <w:rPr>
          <w:rFonts w:cs="Calibri"/>
          <w:color w:val="000000"/>
          <w:szCs w:val="22"/>
        </w:rPr>
        <w:t>H</w:t>
      </w:r>
      <w:r w:rsidR="00D85975" w:rsidRPr="00831CCB">
        <w:rPr>
          <w:rFonts w:cs="Calibri"/>
          <w:color w:val="000000"/>
          <w:szCs w:val="22"/>
        </w:rPr>
        <w:t>older a proportionate share in the assets of the Fund</w:t>
      </w:r>
      <w:r w:rsidR="00D85975">
        <w:rPr>
          <w:rFonts w:cs="Calibri"/>
          <w:color w:val="000000"/>
          <w:szCs w:val="22"/>
        </w:rPr>
        <w:t xml:space="preserve"> and rights and privileges under the Articles</w:t>
      </w:r>
      <w:r w:rsidR="00D85975" w:rsidRPr="00831CCB">
        <w:rPr>
          <w:rFonts w:cs="Calibri"/>
          <w:color w:val="000000"/>
          <w:szCs w:val="22"/>
        </w:rPr>
        <w:t xml:space="preserve"> (in the same manner as participating shares would afford the holder a right in the assets of the fund in a traditional structure).</w:t>
      </w:r>
    </w:p>
    <w:p w14:paraId="647428A3" w14:textId="383DC316" w:rsidR="00D85975" w:rsidRPr="004126E5" w:rsidRDefault="00D85975" w:rsidP="00D85975">
      <w:pPr>
        <w:pStyle w:val="BodyText"/>
        <w:rPr>
          <w:rFonts w:cs="Calibri"/>
        </w:rPr>
      </w:pPr>
      <w:r w:rsidRPr="00831CCB">
        <w:rPr>
          <w:rFonts w:cs="Calibri"/>
          <w:color w:val="000000"/>
          <w:szCs w:val="22"/>
        </w:rPr>
        <w:t>The Tokens may be subscribed for (minted) and redeemed (burned) in accordance with the Fund documents</w:t>
      </w:r>
      <w:r>
        <w:rPr>
          <w:rFonts w:cs="Calibri"/>
          <w:color w:val="000000"/>
          <w:szCs w:val="22"/>
        </w:rPr>
        <w:t>.</w:t>
      </w:r>
    </w:p>
    <w:p w14:paraId="6CEC88A2" w14:textId="77777777" w:rsidR="005B25DB" w:rsidRPr="004126E5" w:rsidRDefault="005B25DB" w:rsidP="00531D5D">
      <w:pPr>
        <w:pStyle w:val="CentredHeadingCaps"/>
        <w:rPr>
          <w:rFonts w:cs="Calibri"/>
        </w:rPr>
      </w:pPr>
      <w:r w:rsidRPr="004126E5">
        <w:rPr>
          <w:rFonts w:cs="Calibri"/>
        </w:rPr>
        <w:t>TRANSFER RESTRICTIONS</w:t>
      </w:r>
    </w:p>
    <w:p w14:paraId="1BCCFA15" w14:textId="27094BC5" w:rsidR="005B25DB" w:rsidRPr="004126E5" w:rsidRDefault="005B25DB" w:rsidP="005B25DB">
      <w:pPr>
        <w:pStyle w:val="BodyText"/>
        <w:rPr>
          <w:rFonts w:cs="Calibri"/>
        </w:rPr>
      </w:pPr>
      <w:r w:rsidRPr="004126E5">
        <w:rPr>
          <w:rFonts w:cs="Calibri"/>
        </w:rPr>
        <w:t xml:space="preserve">The </w:t>
      </w:r>
      <w:r w:rsidR="0009443E">
        <w:rPr>
          <w:rFonts w:cs="Calibri"/>
        </w:rPr>
        <w:t>Tokens</w:t>
      </w:r>
      <w:r w:rsidRPr="004126E5">
        <w:rPr>
          <w:rFonts w:cs="Calibri"/>
        </w:rPr>
        <w:t xml:space="preserve"> may not be sold, transferred, assigned, hypothecated or otherwise disposed of, in whole or in part, except as provided for in the </w:t>
      </w:r>
      <w:r w:rsidR="0009443E">
        <w:rPr>
          <w:rFonts w:cs="Calibri"/>
        </w:rPr>
        <w:t>Articles</w:t>
      </w:r>
      <w:r w:rsidRPr="004126E5">
        <w:rPr>
          <w:rFonts w:cs="Calibri"/>
        </w:rPr>
        <w:t>, as amended and/or restated from time to time (the “</w:t>
      </w:r>
      <w:r w:rsidR="0009443E">
        <w:rPr>
          <w:rFonts w:cs="Calibri"/>
          <w:b/>
          <w:bCs/>
        </w:rPr>
        <w:t>Articles</w:t>
      </w:r>
      <w:r w:rsidRPr="004126E5">
        <w:rPr>
          <w:rFonts w:cs="Calibri"/>
        </w:rPr>
        <w:t xml:space="preserve">”). The Fund has the right in certain circumstances to compulsorily redeem the </w:t>
      </w:r>
      <w:r w:rsidR="0009443E">
        <w:rPr>
          <w:rFonts w:cs="Calibri"/>
        </w:rPr>
        <w:t>Tokens</w:t>
      </w:r>
      <w:r w:rsidRPr="004126E5">
        <w:rPr>
          <w:rFonts w:cs="Calibri"/>
        </w:rPr>
        <w:t xml:space="preserve">. Investors have the right to </w:t>
      </w:r>
      <w:r w:rsidR="0009443E">
        <w:rPr>
          <w:rFonts w:cs="Calibri"/>
        </w:rPr>
        <w:t xml:space="preserve">transfer, </w:t>
      </w:r>
      <w:r w:rsidRPr="004126E5">
        <w:rPr>
          <w:rFonts w:cs="Calibri"/>
        </w:rPr>
        <w:t xml:space="preserve">redeem or withdraw their </w:t>
      </w:r>
      <w:r w:rsidR="0009443E">
        <w:rPr>
          <w:rFonts w:cs="Calibri"/>
        </w:rPr>
        <w:t>Tokens in accordance with the Articles</w:t>
      </w:r>
      <w:r w:rsidRPr="004126E5">
        <w:rPr>
          <w:rFonts w:cs="Calibri"/>
        </w:rPr>
        <w:t xml:space="preserve">. There is no public or other market for the </w:t>
      </w:r>
      <w:proofErr w:type="gramStart"/>
      <w:r w:rsidR="0009443E">
        <w:rPr>
          <w:rFonts w:cs="Calibri"/>
        </w:rPr>
        <w:t>Tokens</w:t>
      </w:r>
      <w:proofErr w:type="gramEnd"/>
      <w:r w:rsidRPr="004126E5">
        <w:rPr>
          <w:rFonts w:cs="Calibri"/>
        </w:rPr>
        <w:t xml:space="preserve"> and none is expected to develop.</w:t>
      </w:r>
    </w:p>
    <w:p w14:paraId="7B7EFA77" w14:textId="77777777" w:rsidR="005B25DB" w:rsidRPr="004126E5" w:rsidRDefault="005B25DB" w:rsidP="00531D5D">
      <w:pPr>
        <w:pStyle w:val="CentredHeadingCaps"/>
        <w:rPr>
          <w:rFonts w:cs="Calibri"/>
        </w:rPr>
      </w:pPr>
      <w:r w:rsidRPr="004126E5">
        <w:rPr>
          <w:rFonts w:cs="Calibri"/>
        </w:rPr>
        <w:t>RISKS</w:t>
      </w:r>
    </w:p>
    <w:p w14:paraId="42AF1075" w14:textId="19355A18" w:rsidR="005B25DB" w:rsidRPr="004126E5" w:rsidRDefault="005B25DB" w:rsidP="005B25DB">
      <w:pPr>
        <w:pStyle w:val="BodyText"/>
        <w:rPr>
          <w:rFonts w:cs="Calibri"/>
        </w:rPr>
      </w:pPr>
      <w:r w:rsidRPr="004126E5">
        <w:rPr>
          <w:rFonts w:cs="Calibri"/>
        </w:rPr>
        <w:t>An investment in the Fund involves a high degree of risk and is suitable only for investors who fully understand, and who can bear the risks of, such an investment and who can afford a total loss of their investment. In addition, potential investors should be aware that there will be occasions when the Fund Manager and/or its Affiliates may encounter conflicts of interest in connection with the Fund. All potential investors must carefully read the Section entitled “</w:t>
      </w:r>
      <w:r w:rsidRPr="0009443E">
        <w:rPr>
          <w:rFonts w:cs="Calibri"/>
          <w:i/>
          <w:iCs/>
        </w:rPr>
        <w:t>Certain Risk Factors</w:t>
      </w:r>
      <w:r w:rsidR="00B847C0">
        <w:rPr>
          <w:rFonts w:cs="Calibri"/>
          <w:i/>
          <w:iCs/>
        </w:rPr>
        <w:t xml:space="preserve">" </w:t>
      </w:r>
      <w:r w:rsidR="00B847C0" w:rsidRPr="00B847C0">
        <w:rPr>
          <w:rFonts w:cs="Calibri"/>
        </w:rPr>
        <w:t>and</w:t>
      </w:r>
      <w:r w:rsidRPr="0009443E">
        <w:rPr>
          <w:rFonts w:cs="Calibri"/>
          <w:i/>
          <w:iCs/>
        </w:rPr>
        <w:t xml:space="preserve"> </w:t>
      </w:r>
      <w:r w:rsidR="00B847C0">
        <w:rPr>
          <w:rFonts w:cs="Calibri"/>
          <w:i/>
          <w:iCs/>
        </w:rPr>
        <w:t>"</w:t>
      </w:r>
      <w:r w:rsidRPr="0009443E">
        <w:rPr>
          <w:rFonts w:cs="Calibri"/>
          <w:i/>
          <w:iCs/>
        </w:rPr>
        <w:t>Potential Conflicts of Interests</w:t>
      </w:r>
      <w:r w:rsidR="00B847C0">
        <w:rPr>
          <w:rFonts w:cs="Calibri"/>
          <w:i/>
          <w:iCs/>
        </w:rPr>
        <w:t>, Certain Lega, Tokenisation, Tax and Regulatory Matters</w:t>
      </w:r>
      <w:r w:rsidRPr="004126E5">
        <w:rPr>
          <w:rFonts w:cs="Calibri"/>
        </w:rPr>
        <w:t>” in this Prospectus before making an investment in the Fund.</w:t>
      </w:r>
    </w:p>
    <w:p w14:paraId="7F04ED64" w14:textId="77777777" w:rsidR="005B25DB" w:rsidRPr="004126E5" w:rsidRDefault="005B25DB" w:rsidP="00531D5D">
      <w:pPr>
        <w:pStyle w:val="CentredHeadingCaps"/>
        <w:rPr>
          <w:rFonts w:cs="Calibri"/>
        </w:rPr>
      </w:pPr>
      <w:r w:rsidRPr="004126E5">
        <w:rPr>
          <w:rFonts w:cs="Calibri"/>
        </w:rPr>
        <w:t>MODIFICATION AND WITHDRAWAL OF OFFER</w:t>
      </w:r>
    </w:p>
    <w:p w14:paraId="4CB03265" w14:textId="0E41203C" w:rsidR="005B25DB" w:rsidRPr="004126E5" w:rsidRDefault="005B25DB" w:rsidP="005B25DB">
      <w:pPr>
        <w:pStyle w:val="BodyText"/>
        <w:rPr>
          <w:rFonts w:cs="Calibri"/>
        </w:rPr>
      </w:pPr>
      <w:r w:rsidRPr="004126E5">
        <w:rPr>
          <w:rFonts w:cs="Calibri"/>
        </w:rPr>
        <w:t>The Fund reserves the right to modify, withdraw or cancel any offering made pursuant to this Prospectus at any time prior to consummation of the offering and to reject any subscription</w:t>
      </w:r>
      <w:r w:rsidR="0009443E">
        <w:rPr>
          <w:rFonts w:cs="Calibri"/>
        </w:rPr>
        <w:t xml:space="preserve"> for Tokens</w:t>
      </w:r>
      <w:r w:rsidRPr="004126E5">
        <w:rPr>
          <w:rFonts w:cs="Calibri"/>
        </w:rPr>
        <w:t>, in whole or in part, in its sole discretion.</w:t>
      </w:r>
    </w:p>
    <w:p w14:paraId="385ED9C4" w14:textId="77777777" w:rsidR="005B25DB" w:rsidRPr="004126E5" w:rsidRDefault="005B25DB" w:rsidP="00531D5D">
      <w:pPr>
        <w:pStyle w:val="CentredHeadingCaps"/>
        <w:rPr>
          <w:rFonts w:cs="Calibri"/>
        </w:rPr>
      </w:pPr>
      <w:r w:rsidRPr="004126E5">
        <w:rPr>
          <w:rFonts w:cs="Calibri"/>
        </w:rPr>
        <w:t>OFFERING MATERIALS</w:t>
      </w:r>
    </w:p>
    <w:p w14:paraId="69B179E5" w14:textId="16793F08" w:rsidR="005B25DB" w:rsidRPr="004126E5" w:rsidRDefault="005B25DB" w:rsidP="005B25DB">
      <w:pPr>
        <w:pStyle w:val="BodyText"/>
        <w:rPr>
          <w:rFonts w:cs="Calibri"/>
        </w:rPr>
      </w:pPr>
      <w:r w:rsidRPr="004126E5">
        <w:rPr>
          <w:rFonts w:cs="Calibri"/>
        </w:rPr>
        <w:t xml:space="preserve">No offering materials will, or may be, employed in the offering of </w:t>
      </w:r>
      <w:r w:rsidR="0009443E">
        <w:rPr>
          <w:rFonts w:cs="Calibri"/>
        </w:rPr>
        <w:t>Tokens</w:t>
      </w:r>
      <w:r w:rsidRPr="004126E5">
        <w:rPr>
          <w:rFonts w:cs="Calibri"/>
        </w:rPr>
        <w:t xml:space="preserve"> except for this Prospectus and the documents summarised herein. No person has been authorised to make representations, or give any information, with respect to the Fund or the </w:t>
      </w:r>
      <w:r w:rsidR="00D362F9">
        <w:rPr>
          <w:rFonts w:cs="Calibri"/>
        </w:rPr>
        <w:t>Tokens</w:t>
      </w:r>
      <w:r w:rsidRPr="004126E5">
        <w:rPr>
          <w:rFonts w:cs="Calibri"/>
        </w:rPr>
        <w:t>, except for the information contained in this Prospectus. Potential investors should not rely on information not contained in this Prospectus or the documents summarised herein.</w:t>
      </w:r>
    </w:p>
    <w:p w14:paraId="496CF478" w14:textId="77777777" w:rsidR="005B25DB" w:rsidRPr="004126E5" w:rsidRDefault="005B25DB" w:rsidP="00531D5D">
      <w:pPr>
        <w:pStyle w:val="CentredHeadingCaps"/>
        <w:rPr>
          <w:rFonts w:cs="Calibri"/>
        </w:rPr>
      </w:pPr>
      <w:r w:rsidRPr="004126E5">
        <w:rPr>
          <w:rFonts w:cs="Calibri"/>
        </w:rPr>
        <w:t>CONFIDENTIALITY</w:t>
      </w:r>
    </w:p>
    <w:p w14:paraId="2BC6A730" w14:textId="2C8E36CE" w:rsidR="005B25DB" w:rsidRPr="004126E5" w:rsidRDefault="005B25DB" w:rsidP="005B25DB">
      <w:pPr>
        <w:pStyle w:val="BodyText"/>
        <w:rPr>
          <w:rFonts w:cs="Calibri"/>
        </w:rPr>
      </w:pPr>
      <w:r w:rsidRPr="004126E5">
        <w:rPr>
          <w:rFonts w:cs="Calibri"/>
        </w:rPr>
        <w:lastRenderedPageBreak/>
        <w:t xml:space="preserve">Recipients, by their acceptance and retention of this Prospectus, acknowledge and agree to preserve the confidentiality of the contents of this Prospectus and all accompanying documents and to return this Prospectus and all such documents to the Fund Manager or the Administrator if the recipient does not purchase any </w:t>
      </w:r>
      <w:r w:rsidR="00D362F9">
        <w:rPr>
          <w:rFonts w:cs="Calibri"/>
        </w:rPr>
        <w:t>Tokens</w:t>
      </w:r>
      <w:r w:rsidRPr="004126E5">
        <w:rPr>
          <w:rFonts w:cs="Calibri"/>
        </w:rPr>
        <w:t>. Neither this Prospectus, nor any of the accompanying documents, may be reproduced in whole or in part, nor may they be used for any purpose other than that for which they have been submitted, without the prior written consent of the Fund.</w:t>
      </w:r>
    </w:p>
    <w:p w14:paraId="094EB59C" w14:textId="77777777" w:rsidR="005B25DB" w:rsidRPr="004126E5" w:rsidRDefault="005B25DB" w:rsidP="00531D5D">
      <w:pPr>
        <w:pStyle w:val="CentredHeadingCaps"/>
        <w:rPr>
          <w:rFonts w:cs="Calibri"/>
        </w:rPr>
      </w:pPr>
      <w:r w:rsidRPr="004126E5">
        <w:rPr>
          <w:rFonts w:cs="Calibri"/>
        </w:rPr>
        <w:t>CURRENT LAW</w:t>
      </w:r>
    </w:p>
    <w:p w14:paraId="49984D33" w14:textId="77777777" w:rsidR="005B25DB" w:rsidRPr="004126E5" w:rsidRDefault="005B25DB" w:rsidP="005B25DB">
      <w:pPr>
        <w:pStyle w:val="BodyText"/>
        <w:rPr>
          <w:rFonts w:cs="Calibri"/>
        </w:rPr>
      </w:pPr>
      <w:r w:rsidRPr="004126E5">
        <w:rPr>
          <w:rFonts w:cs="Calibri"/>
        </w:rPr>
        <w:t xml:space="preserve">This Prospectus is based on the law, rules and practice currently in force in the ADGM (as promulgated by the ADGM and FSRA) and is subject to changes therein. </w:t>
      </w:r>
    </w:p>
    <w:p w14:paraId="26AE79D8" w14:textId="77777777" w:rsidR="005B25DB" w:rsidRPr="004126E5" w:rsidRDefault="005B25DB" w:rsidP="00531D5D">
      <w:pPr>
        <w:pStyle w:val="CentredHeadingCaps"/>
        <w:rPr>
          <w:rFonts w:cs="Calibri"/>
        </w:rPr>
      </w:pPr>
      <w:r w:rsidRPr="004126E5">
        <w:rPr>
          <w:rFonts w:cs="Calibri"/>
        </w:rPr>
        <w:t>NO ADVICE</w:t>
      </w:r>
    </w:p>
    <w:p w14:paraId="21093C59" w14:textId="206FC3FD" w:rsidR="005B25DB" w:rsidRPr="004126E5" w:rsidRDefault="005B25DB" w:rsidP="005B25DB">
      <w:pPr>
        <w:pStyle w:val="BodyText"/>
        <w:rPr>
          <w:rFonts w:cs="Calibri"/>
        </w:rPr>
      </w:pPr>
      <w:r w:rsidRPr="004126E5">
        <w:rPr>
          <w:rFonts w:cs="Calibri"/>
        </w:rPr>
        <w:t xml:space="preserve">Investors should not construe the contents of this Prospectus as legal, tax, investment or other advice. Investors should be aware that they may be required to bear the financial risks of their investment in the Fund for an indefinite </w:t>
      </w:r>
      <w:proofErr w:type="gramStart"/>
      <w:r w:rsidRPr="004126E5">
        <w:rPr>
          <w:rFonts w:cs="Calibri"/>
        </w:rPr>
        <w:t>period of time</w:t>
      </w:r>
      <w:proofErr w:type="gramEnd"/>
      <w:r w:rsidRPr="004126E5">
        <w:rPr>
          <w:rFonts w:cs="Calibri"/>
        </w:rPr>
        <w:t xml:space="preserve">. Investment in </w:t>
      </w:r>
      <w:r w:rsidR="00D362F9">
        <w:rPr>
          <w:rFonts w:cs="Calibri"/>
        </w:rPr>
        <w:t>Tokens</w:t>
      </w:r>
      <w:r w:rsidRPr="004126E5">
        <w:rPr>
          <w:rFonts w:cs="Calibri"/>
        </w:rPr>
        <w:t xml:space="preserve"> will involve significant risks due to, among other things, the nature of the Fund’s investments and the fact that there will be no public market for the </w:t>
      </w:r>
      <w:r w:rsidR="00D362F9">
        <w:rPr>
          <w:rFonts w:cs="Calibri"/>
        </w:rPr>
        <w:t>Tokens</w:t>
      </w:r>
      <w:r w:rsidRPr="004126E5">
        <w:rPr>
          <w:rFonts w:cs="Calibri"/>
        </w:rPr>
        <w:t>. Investors should have the financial ability and willingness to accept the risks and lack of liquidity that are characteristic of an investment in the Fund. No assurance can be given that the Fund’s investment objectives will be achieved or that investors will receive a return of their capital. Investors could lose the entire value of their investment.</w:t>
      </w:r>
    </w:p>
    <w:p w14:paraId="565AF9AE" w14:textId="77777777" w:rsidR="005B25DB" w:rsidRPr="004126E5" w:rsidRDefault="005B25DB" w:rsidP="00531D5D">
      <w:pPr>
        <w:pStyle w:val="CentredHeadingCaps"/>
        <w:rPr>
          <w:rFonts w:cs="Calibri"/>
        </w:rPr>
      </w:pPr>
      <w:r w:rsidRPr="004126E5">
        <w:rPr>
          <w:rFonts w:cs="Calibri"/>
        </w:rPr>
        <w:t>OFFERING RESTRICTIONS</w:t>
      </w:r>
    </w:p>
    <w:p w14:paraId="0077BDCF" w14:textId="13C4F66C" w:rsidR="005B25DB" w:rsidRPr="004126E5" w:rsidRDefault="005B25DB" w:rsidP="005B25DB">
      <w:pPr>
        <w:pStyle w:val="BodyText"/>
        <w:rPr>
          <w:rFonts w:cs="Calibri"/>
        </w:rPr>
      </w:pPr>
      <w:r w:rsidRPr="004126E5">
        <w:rPr>
          <w:rFonts w:cs="Calibri"/>
        </w:rPr>
        <w:t xml:space="preserve">The distribution of this Prospectus and the offer and sale of the </w:t>
      </w:r>
      <w:r w:rsidR="00D362F9">
        <w:rPr>
          <w:rFonts w:cs="Calibri"/>
        </w:rPr>
        <w:t>Tokens</w:t>
      </w:r>
      <w:r w:rsidRPr="004126E5">
        <w:rPr>
          <w:rFonts w:cs="Calibri"/>
        </w:rPr>
        <w:t xml:space="preserve"> in certain jurisdictions may be restricted by law. Prospective investors should inform themselves as to the legal requirements and tax consequences within the countries of their citizenship, residence, domicile and place of business with respect to the acquisition, holding or disposal of </w:t>
      </w:r>
      <w:r w:rsidR="00D362F9">
        <w:rPr>
          <w:rFonts w:cs="Calibri"/>
        </w:rPr>
        <w:t>Tokens</w:t>
      </w:r>
      <w:r w:rsidRPr="004126E5">
        <w:rPr>
          <w:rFonts w:cs="Calibri"/>
        </w:rPr>
        <w:t xml:space="preserve"> and any foreign exchange restrictions that may be relevant thereto. This Prospectus does not constitute an offer to sell, or a solicitation of an offer to buy, </w:t>
      </w:r>
      <w:r w:rsidR="00D362F9">
        <w:rPr>
          <w:rFonts w:cs="Calibri"/>
        </w:rPr>
        <w:t>Tokens</w:t>
      </w:r>
      <w:r w:rsidRPr="004126E5">
        <w:rPr>
          <w:rFonts w:cs="Calibri"/>
        </w:rPr>
        <w:t xml:space="preserve"> in any jurisdiction to any person to whom it is unlawful to make such an offer or sale. Prospective investors should review </w:t>
      </w:r>
      <w:r w:rsidR="00936E68" w:rsidRPr="004126E5">
        <w:rPr>
          <w:rFonts w:cs="Calibri"/>
        </w:rPr>
        <w:fldChar w:fldCharType="begin"/>
      </w:r>
      <w:r w:rsidR="00936E68" w:rsidRPr="004126E5">
        <w:rPr>
          <w:rFonts w:cs="Calibri"/>
        </w:rPr>
        <w:instrText xml:space="preserve"> REF _Ref166760318 \n \h </w:instrText>
      </w:r>
      <w:r w:rsidR="00CB4289" w:rsidRPr="004126E5">
        <w:rPr>
          <w:rFonts w:cs="Calibri"/>
        </w:rPr>
        <w:instrText xml:space="preserve"> \* MERGEFORMAT </w:instrText>
      </w:r>
      <w:r w:rsidR="00936E68" w:rsidRPr="004126E5">
        <w:rPr>
          <w:rFonts w:cs="Calibri"/>
        </w:rPr>
      </w:r>
      <w:r w:rsidR="00936E68" w:rsidRPr="004126E5">
        <w:rPr>
          <w:rFonts w:cs="Calibri"/>
        </w:rPr>
        <w:fldChar w:fldCharType="separate"/>
      </w:r>
      <w:r w:rsidR="00153DFE">
        <w:rPr>
          <w:rFonts w:cs="Calibri"/>
        </w:rPr>
        <w:t>Appendix B</w:t>
      </w:r>
      <w:r w:rsidR="00936E68" w:rsidRPr="004126E5">
        <w:rPr>
          <w:rFonts w:cs="Calibri"/>
        </w:rPr>
        <w:fldChar w:fldCharType="end"/>
      </w:r>
      <w:r w:rsidRPr="004126E5">
        <w:rPr>
          <w:rFonts w:cs="Calibri"/>
        </w:rPr>
        <w:t xml:space="preserve"> hereto for a list of offering restrictions in certain jurisdictions.</w:t>
      </w:r>
    </w:p>
    <w:p w14:paraId="3E7200B2" w14:textId="77777777" w:rsidR="005B25DB" w:rsidRPr="004126E5" w:rsidRDefault="005B25DB" w:rsidP="005B25DB">
      <w:pPr>
        <w:pStyle w:val="BodyText"/>
        <w:rPr>
          <w:rFonts w:cs="Calibri"/>
        </w:rPr>
      </w:pPr>
      <w:r w:rsidRPr="004126E5">
        <w:rPr>
          <w:rFonts w:cs="Calibri"/>
        </w:rPr>
        <w:t>Neither the Fund nor the Fund Manager is making any representation to any offeree or investor in the Fund regarding the legality of investment by such offeree or investor under applicable investment or similar laws.</w:t>
      </w:r>
    </w:p>
    <w:p w14:paraId="057F000F" w14:textId="5F539821" w:rsidR="005B25DB" w:rsidRPr="004126E5" w:rsidRDefault="005B25DB" w:rsidP="005B25DB">
      <w:pPr>
        <w:pStyle w:val="BodyText"/>
        <w:rPr>
          <w:rFonts w:cs="Calibri"/>
        </w:rPr>
      </w:pPr>
      <w:r w:rsidRPr="004126E5">
        <w:rPr>
          <w:rFonts w:cs="Calibri"/>
        </w:rPr>
        <w:t>The Fund Manager reserve</w:t>
      </w:r>
      <w:r w:rsidR="00D362F9">
        <w:rPr>
          <w:rFonts w:cs="Calibri"/>
        </w:rPr>
        <w:t>s</w:t>
      </w:r>
      <w:r w:rsidRPr="004126E5">
        <w:rPr>
          <w:rFonts w:cs="Calibri"/>
        </w:rPr>
        <w:t xml:space="preserve"> the right to modify, withdraw or cancel any offering made pursuant to this Prospectus at any time prior to consummation of the offering and to reject any subscription, in whole or in part, in its sole discretion.</w:t>
      </w:r>
    </w:p>
    <w:p w14:paraId="3AB745FA" w14:textId="365297CA" w:rsidR="005B25DB" w:rsidRPr="004126E5" w:rsidRDefault="002960A3" w:rsidP="00531D5D">
      <w:pPr>
        <w:pStyle w:val="CentredHeadingCaps"/>
        <w:rPr>
          <w:rFonts w:cs="Calibri"/>
        </w:rPr>
      </w:pPr>
      <w:r>
        <w:rPr>
          <w:rFonts w:cs="Calibri"/>
        </w:rPr>
        <w:t>articl</w:t>
      </w:r>
      <w:r w:rsidR="007009A3">
        <w:rPr>
          <w:rFonts w:cs="Calibri"/>
        </w:rPr>
        <w:t>E</w:t>
      </w:r>
      <w:r>
        <w:rPr>
          <w:rFonts w:cs="Calibri"/>
        </w:rPr>
        <w:t>s</w:t>
      </w:r>
      <w:r w:rsidR="007009A3">
        <w:rPr>
          <w:rFonts w:cs="Calibri"/>
        </w:rPr>
        <w:t xml:space="preserve"> of association</w:t>
      </w:r>
    </w:p>
    <w:p w14:paraId="57FDD83D" w14:textId="43100465" w:rsidR="005B25DB" w:rsidRDefault="005B25DB" w:rsidP="005B25DB">
      <w:pPr>
        <w:pStyle w:val="BodyText"/>
        <w:rPr>
          <w:rFonts w:cs="Calibri"/>
        </w:rPr>
      </w:pPr>
      <w:r w:rsidRPr="004126E5">
        <w:rPr>
          <w:rFonts w:cs="Calibri"/>
        </w:rPr>
        <w:t xml:space="preserve">This Prospectus is subject to, and qualified in its entirety by, reference to the </w:t>
      </w:r>
      <w:r w:rsidR="00D362F9">
        <w:rPr>
          <w:rFonts w:cs="Calibri"/>
        </w:rPr>
        <w:t>Articles</w:t>
      </w:r>
      <w:r w:rsidR="002960A3">
        <w:rPr>
          <w:rFonts w:cs="Calibri"/>
        </w:rPr>
        <w:t xml:space="preserve"> of Association of the Fund (the "</w:t>
      </w:r>
      <w:r w:rsidR="002960A3" w:rsidRPr="007009A3">
        <w:rPr>
          <w:rFonts w:cs="Calibri"/>
          <w:b/>
          <w:bCs/>
        </w:rPr>
        <w:t>Articles</w:t>
      </w:r>
      <w:r w:rsidR="002960A3">
        <w:rPr>
          <w:rFonts w:cs="Calibri"/>
        </w:rPr>
        <w:t>")</w:t>
      </w:r>
      <w:r w:rsidR="00D362F9">
        <w:rPr>
          <w:rFonts w:cs="Calibri"/>
        </w:rPr>
        <w:t xml:space="preserve"> </w:t>
      </w:r>
      <w:r w:rsidRPr="004126E5">
        <w:rPr>
          <w:rFonts w:cs="Calibri"/>
        </w:rPr>
        <w:t xml:space="preserve">and the </w:t>
      </w:r>
      <w:r w:rsidR="006D4C23">
        <w:rPr>
          <w:rFonts w:cs="Calibri"/>
        </w:rPr>
        <w:t>Token Purchase Agreement</w:t>
      </w:r>
      <w:r w:rsidRPr="004126E5">
        <w:rPr>
          <w:rFonts w:cs="Calibri"/>
        </w:rPr>
        <w:t xml:space="preserve">, which should be reviewed for complete information concerning the rights, privileges and obligations of investors in the Fund. </w:t>
      </w:r>
      <w:proofErr w:type="gramStart"/>
      <w:r w:rsidRPr="004126E5">
        <w:rPr>
          <w:rFonts w:cs="Calibri"/>
        </w:rPr>
        <w:t>In the event that</w:t>
      </w:r>
      <w:proofErr w:type="gramEnd"/>
      <w:r w:rsidRPr="004126E5">
        <w:rPr>
          <w:rFonts w:cs="Calibri"/>
        </w:rPr>
        <w:t xml:space="preserve"> the description or terms in this Prospectus are inconsistent with, or contrary to, the descriptions in or terms of the </w:t>
      </w:r>
      <w:r w:rsidR="00D362F9">
        <w:rPr>
          <w:rFonts w:cs="Calibri"/>
        </w:rPr>
        <w:t>Articles</w:t>
      </w:r>
      <w:r w:rsidRPr="004126E5">
        <w:rPr>
          <w:rFonts w:cs="Calibri"/>
        </w:rPr>
        <w:t xml:space="preserve"> or the </w:t>
      </w:r>
      <w:r w:rsidR="006D4C23">
        <w:rPr>
          <w:rFonts w:cs="Calibri"/>
        </w:rPr>
        <w:t>Token Purchase Agreement</w:t>
      </w:r>
      <w:r w:rsidRPr="004126E5">
        <w:rPr>
          <w:rFonts w:cs="Calibri"/>
        </w:rPr>
        <w:t xml:space="preserve">, the </w:t>
      </w:r>
      <w:r w:rsidR="00D362F9">
        <w:rPr>
          <w:rFonts w:cs="Calibri"/>
        </w:rPr>
        <w:t>Articles</w:t>
      </w:r>
      <w:r w:rsidRPr="004126E5">
        <w:rPr>
          <w:rFonts w:cs="Calibri"/>
        </w:rPr>
        <w:t xml:space="preserve"> and the </w:t>
      </w:r>
      <w:r w:rsidR="006D4C23">
        <w:rPr>
          <w:rFonts w:cs="Calibri"/>
        </w:rPr>
        <w:t>Token Purchase Agreement</w:t>
      </w:r>
      <w:r w:rsidRPr="004126E5">
        <w:rPr>
          <w:rFonts w:cs="Calibri"/>
        </w:rPr>
        <w:t xml:space="preserve"> shall prevail.</w:t>
      </w:r>
    </w:p>
    <w:p w14:paraId="14CAC546" w14:textId="3B0E143A" w:rsidR="0090550C" w:rsidRPr="004126E5" w:rsidRDefault="0090550C" w:rsidP="0090550C">
      <w:pPr>
        <w:pStyle w:val="CentredHeadingCaps"/>
        <w:rPr>
          <w:rFonts w:cs="Calibri"/>
        </w:rPr>
      </w:pPr>
      <w:r>
        <w:rPr>
          <w:rFonts w:cs="Calibri"/>
        </w:rPr>
        <w:t>US PERSONS</w:t>
      </w:r>
    </w:p>
    <w:p w14:paraId="1659F9A4" w14:textId="3D57CB7E" w:rsidR="0090550C" w:rsidRPr="004126E5" w:rsidRDefault="0090550C" w:rsidP="0090550C">
      <w:pPr>
        <w:pStyle w:val="BodyText"/>
        <w:rPr>
          <w:rFonts w:cs="Calibri"/>
        </w:rPr>
      </w:pPr>
      <w:r>
        <w:rPr>
          <w:rFonts w:cs="Calibri"/>
        </w:rPr>
        <w:t>US Persons may not subscribe for Tokens</w:t>
      </w:r>
      <w:r w:rsidR="00953A66">
        <w:rPr>
          <w:rFonts w:cs="Calibri"/>
        </w:rPr>
        <w:t xml:space="preserve"> and will not be accepted or admitted as Token Holders</w:t>
      </w:r>
      <w:r>
        <w:rPr>
          <w:rFonts w:cs="Calibri"/>
        </w:rPr>
        <w:t>.</w:t>
      </w:r>
    </w:p>
    <w:p w14:paraId="5B81FB4F" w14:textId="77777777" w:rsidR="005B25DB" w:rsidRPr="004126E5" w:rsidRDefault="005B25DB" w:rsidP="00531D5D">
      <w:pPr>
        <w:pStyle w:val="CentredHeadingCaps"/>
        <w:rPr>
          <w:rFonts w:cs="Calibri"/>
        </w:rPr>
      </w:pPr>
      <w:r w:rsidRPr="004126E5">
        <w:rPr>
          <w:rFonts w:cs="Calibri"/>
        </w:rPr>
        <w:lastRenderedPageBreak/>
        <w:t>SOURCE OF INFORMATION</w:t>
      </w:r>
    </w:p>
    <w:p w14:paraId="355C575A" w14:textId="600B20E9" w:rsidR="005B25DB" w:rsidRPr="004126E5" w:rsidRDefault="005B25DB" w:rsidP="005B25DB">
      <w:pPr>
        <w:pStyle w:val="BodyText"/>
        <w:rPr>
          <w:rFonts w:cs="Calibri"/>
        </w:rPr>
      </w:pPr>
      <w:r w:rsidRPr="004126E5">
        <w:rPr>
          <w:rFonts w:cs="Calibri"/>
        </w:rPr>
        <w:t xml:space="preserve">Certain of the information contained in this Prospectus is based on, or derived from, published sources or information provided by third parties. </w:t>
      </w:r>
      <w:r w:rsidR="00D362F9">
        <w:rPr>
          <w:rFonts w:cs="Calibri"/>
        </w:rPr>
        <w:t>Neither</w:t>
      </w:r>
      <w:r w:rsidRPr="004126E5">
        <w:rPr>
          <w:rFonts w:cs="Calibri"/>
        </w:rPr>
        <w:t xml:space="preserve"> of the Fund and the Fund Manager or any of their respective directors, officers, shareholders, </w:t>
      </w:r>
      <w:r w:rsidR="00C54A74">
        <w:rPr>
          <w:rFonts w:cs="Calibri"/>
        </w:rPr>
        <w:t>Affiliate</w:t>
      </w:r>
      <w:r w:rsidRPr="004126E5">
        <w:rPr>
          <w:rFonts w:cs="Calibri"/>
        </w:rPr>
        <w:t>s, employees or agents assume or accept any responsibility for the accuracy or completeness of such information.</w:t>
      </w:r>
    </w:p>
    <w:p w14:paraId="5696AD6D" w14:textId="77777777" w:rsidR="005B25DB" w:rsidRPr="004126E5" w:rsidRDefault="005B25DB" w:rsidP="00531D5D">
      <w:pPr>
        <w:pStyle w:val="CentredHeadingCaps"/>
        <w:rPr>
          <w:rFonts w:cs="Calibri"/>
        </w:rPr>
      </w:pPr>
      <w:r w:rsidRPr="004126E5">
        <w:rPr>
          <w:rFonts w:cs="Calibri"/>
        </w:rPr>
        <w:t>FORWARD-LOOKING STATEMENTS</w:t>
      </w:r>
    </w:p>
    <w:p w14:paraId="15821054" w14:textId="7738DCC5" w:rsidR="005B25DB" w:rsidRPr="004126E5" w:rsidRDefault="005B25DB" w:rsidP="005B25DB">
      <w:pPr>
        <w:pStyle w:val="BodyText"/>
        <w:rPr>
          <w:rFonts w:cs="Calibri"/>
        </w:rPr>
      </w:pPr>
      <w:r w:rsidRPr="004126E5">
        <w:rPr>
          <w:rFonts w:cs="Calibri"/>
        </w:rPr>
        <w:t xml:space="preserve">Certain statements in this Prospectus are not historical facts and are “forward-looking” statements. The statements contained in this Prospectus that are not historical facts are forward-looking statements. These forward-looking statements are subject to </w:t>
      </w:r>
      <w:proofErr w:type="gramStart"/>
      <w:r w:rsidRPr="004126E5">
        <w:rPr>
          <w:rFonts w:cs="Calibri"/>
        </w:rPr>
        <w:t>a number of</w:t>
      </w:r>
      <w:proofErr w:type="gramEnd"/>
      <w:r w:rsidRPr="004126E5">
        <w:rPr>
          <w:rFonts w:cs="Calibri"/>
        </w:rPr>
        <w:t xml:space="preserve"> risks and uncertainties, many of which are beyond the Fund’s, or the Fund Manager's control and all of which are based on the Fund’s, or the Fund Manager’s current beliefs and expectations in relation to future events. Forward-looking statements are typically identified by the use of forward-looking terminology, such as ‘‘</w:t>
      </w:r>
      <w:r w:rsidRPr="004126E5">
        <w:rPr>
          <w:rFonts w:cs="Calibri"/>
          <w:i/>
          <w:iCs/>
        </w:rPr>
        <w:t>believes’’</w:t>
      </w:r>
      <w:r w:rsidRPr="004126E5">
        <w:rPr>
          <w:rFonts w:cs="Calibri"/>
        </w:rPr>
        <w:t>, ‘‘</w:t>
      </w:r>
      <w:r w:rsidRPr="004126E5">
        <w:rPr>
          <w:rFonts w:cs="Calibri"/>
          <w:i/>
          <w:iCs/>
        </w:rPr>
        <w:t>expects’’</w:t>
      </w:r>
      <w:r w:rsidRPr="004126E5">
        <w:rPr>
          <w:rFonts w:cs="Calibri"/>
        </w:rPr>
        <w:t>, ‘‘</w:t>
      </w:r>
      <w:r w:rsidRPr="004126E5">
        <w:rPr>
          <w:rFonts w:cs="Calibri"/>
          <w:i/>
          <w:iCs/>
        </w:rPr>
        <w:t>may’’</w:t>
      </w:r>
      <w:r w:rsidRPr="004126E5">
        <w:rPr>
          <w:rFonts w:cs="Calibri"/>
        </w:rPr>
        <w:t>, ‘‘</w:t>
      </w:r>
      <w:r w:rsidRPr="004126E5">
        <w:rPr>
          <w:rFonts w:cs="Calibri"/>
          <w:i/>
          <w:iCs/>
        </w:rPr>
        <w:t>will’’</w:t>
      </w:r>
      <w:r w:rsidRPr="004126E5">
        <w:rPr>
          <w:rFonts w:cs="Calibri"/>
        </w:rPr>
        <w:t>, ‘‘</w:t>
      </w:r>
      <w:r w:rsidRPr="004126E5">
        <w:rPr>
          <w:rFonts w:cs="Calibri"/>
          <w:i/>
          <w:iCs/>
        </w:rPr>
        <w:t>could’’</w:t>
      </w:r>
      <w:r w:rsidRPr="004126E5">
        <w:rPr>
          <w:rFonts w:cs="Calibri"/>
        </w:rPr>
        <w:t>, ‘‘</w:t>
      </w:r>
      <w:r w:rsidRPr="004126E5">
        <w:rPr>
          <w:rFonts w:cs="Calibri"/>
          <w:i/>
          <w:iCs/>
        </w:rPr>
        <w:t>would’’</w:t>
      </w:r>
      <w:r w:rsidRPr="004126E5">
        <w:rPr>
          <w:rFonts w:cs="Calibri"/>
        </w:rPr>
        <w:t>, ‘‘</w:t>
      </w:r>
      <w:r w:rsidRPr="004126E5">
        <w:rPr>
          <w:rFonts w:cs="Calibri"/>
          <w:i/>
          <w:iCs/>
        </w:rPr>
        <w:t>should’’</w:t>
      </w:r>
      <w:r w:rsidRPr="004126E5">
        <w:rPr>
          <w:rFonts w:cs="Calibri"/>
        </w:rPr>
        <w:t>, ‘‘</w:t>
      </w:r>
      <w:r w:rsidRPr="004126E5">
        <w:rPr>
          <w:rFonts w:cs="Calibri"/>
          <w:i/>
          <w:iCs/>
        </w:rPr>
        <w:t>intends’’</w:t>
      </w:r>
      <w:r w:rsidRPr="004126E5">
        <w:rPr>
          <w:rFonts w:cs="Calibri"/>
        </w:rPr>
        <w:t>, ‘‘</w:t>
      </w:r>
      <w:r w:rsidRPr="004126E5">
        <w:rPr>
          <w:rFonts w:cs="Calibri"/>
          <w:i/>
          <w:iCs/>
        </w:rPr>
        <w:t>targets’’</w:t>
      </w:r>
      <w:r w:rsidRPr="004126E5">
        <w:rPr>
          <w:rFonts w:cs="Calibri"/>
        </w:rPr>
        <w:t>, ‘‘</w:t>
      </w:r>
      <w:r w:rsidRPr="004126E5">
        <w:rPr>
          <w:rFonts w:cs="Calibri"/>
          <w:i/>
          <w:iCs/>
        </w:rPr>
        <w:t>aims’’</w:t>
      </w:r>
      <w:r w:rsidRPr="004126E5">
        <w:rPr>
          <w:rFonts w:cs="Calibri"/>
        </w:rPr>
        <w:t>, ‘‘</w:t>
      </w:r>
      <w:r w:rsidRPr="004126E5">
        <w:rPr>
          <w:rFonts w:cs="Calibri"/>
          <w:i/>
          <w:iCs/>
        </w:rPr>
        <w:t>projects’’</w:t>
      </w:r>
      <w:r w:rsidRPr="004126E5">
        <w:rPr>
          <w:rFonts w:cs="Calibri"/>
        </w:rPr>
        <w:t>, ‘‘</w:t>
      </w:r>
      <w:r w:rsidRPr="004126E5">
        <w:rPr>
          <w:rFonts w:cs="Calibri"/>
          <w:i/>
          <w:iCs/>
        </w:rPr>
        <w:t>estimates’’</w:t>
      </w:r>
      <w:r w:rsidRPr="004126E5">
        <w:rPr>
          <w:rFonts w:cs="Calibri"/>
        </w:rPr>
        <w:t>, ‘‘</w:t>
      </w:r>
      <w:r w:rsidRPr="004126E5">
        <w:rPr>
          <w:rFonts w:cs="Calibri"/>
          <w:i/>
          <w:iCs/>
        </w:rPr>
        <w:t>plans’’</w:t>
      </w:r>
      <w:r w:rsidRPr="004126E5">
        <w:rPr>
          <w:rFonts w:cs="Calibri"/>
        </w:rPr>
        <w:t>, ‘‘</w:t>
      </w:r>
      <w:r w:rsidRPr="004126E5">
        <w:rPr>
          <w:rFonts w:cs="Calibri"/>
          <w:i/>
          <w:iCs/>
        </w:rPr>
        <w:t>assumes’’</w:t>
      </w:r>
      <w:r w:rsidRPr="004126E5">
        <w:rPr>
          <w:rFonts w:cs="Calibri"/>
        </w:rPr>
        <w:t xml:space="preserve"> or ‘‘</w:t>
      </w:r>
      <w:r w:rsidRPr="004126E5">
        <w:rPr>
          <w:rFonts w:cs="Calibri"/>
          <w:i/>
          <w:iCs/>
        </w:rPr>
        <w:t>anticipates’’</w:t>
      </w:r>
      <w:r w:rsidRPr="004126E5">
        <w:rPr>
          <w:rFonts w:cs="Calibri"/>
        </w:rPr>
        <w:t xml:space="preserve"> or the negative thereof or other variations thereon or comparable terminology, or by discussions of strategy that involves risks and uncertainties. In addition, from time to time, representatives of the Fund, and the Fund Manager have made, or may make, forward-looking statements orally or in writing. Furthermore, such forward-looking statements may be included in, but are not limited to, press releases or oral statements made by, or with the approval of, an authorised executive officer of the Fund</w:t>
      </w:r>
      <w:r w:rsidR="00D362F9">
        <w:rPr>
          <w:rFonts w:cs="Calibri"/>
        </w:rPr>
        <w:t xml:space="preserve"> </w:t>
      </w:r>
      <w:r w:rsidRPr="004126E5">
        <w:rPr>
          <w:rFonts w:cs="Calibri"/>
        </w:rPr>
        <w:t>and/or the Fund Manager. Forward-looking statements include statements concerning the Fund’s</w:t>
      </w:r>
      <w:r w:rsidR="00D362F9">
        <w:rPr>
          <w:rFonts w:cs="Calibri"/>
        </w:rPr>
        <w:t xml:space="preserve"> </w:t>
      </w:r>
      <w:r w:rsidRPr="004126E5">
        <w:rPr>
          <w:rFonts w:cs="Calibri"/>
        </w:rPr>
        <w:t>or the Fund Manager's plans, objectives, goals, strategies, future events, future revenues or performance, capital expenditures, financing needs, plans or intentions relating to acquisitions, competitive strengths and weaknesses, business strategy and the trends they anticipate in the industries and the political and legal environment in which the Fund</w:t>
      </w:r>
      <w:r w:rsidR="00D362F9">
        <w:rPr>
          <w:rFonts w:cs="Calibri"/>
        </w:rPr>
        <w:t xml:space="preserve"> </w:t>
      </w:r>
      <w:r w:rsidRPr="004126E5">
        <w:rPr>
          <w:rFonts w:cs="Calibri"/>
        </w:rPr>
        <w:t>and the Fund Manager operate, and other information that is not historical information.</w:t>
      </w:r>
    </w:p>
    <w:p w14:paraId="1E7A3A11" w14:textId="77777777" w:rsidR="005B25DB" w:rsidRPr="004126E5" w:rsidRDefault="005B25DB" w:rsidP="00531D5D">
      <w:pPr>
        <w:pStyle w:val="CentredHeadingCaps"/>
        <w:rPr>
          <w:rFonts w:cs="Calibri"/>
        </w:rPr>
      </w:pPr>
      <w:r w:rsidRPr="004126E5">
        <w:rPr>
          <w:rFonts w:cs="Calibri"/>
        </w:rPr>
        <w:t>DATE</w:t>
      </w:r>
    </w:p>
    <w:p w14:paraId="27A7793E" w14:textId="77777777" w:rsidR="005B25DB" w:rsidRPr="004126E5" w:rsidRDefault="005B25DB" w:rsidP="005B25DB">
      <w:pPr>
        <w:pStyle w:val="BodyText"/>
        <w:rPr>
          <w:rFonts w:cs="Calibri"/>
        </w:rPr>
      </w:pPr>
      <w:r w:rsidRPr="004126E5">
        <w:rPr>
          <w:rFonts w:cs="Calibri"/>
        </w:rPr>
        <w:t>This Prospectus is dated ____________ 2024 and expires one year after the date hereof.</w:t>
      </w:r>
    </w:p>
    <w:p w14:paraId="57A4FB1C" w14:textId="77777777" w:rsidR="005B25DB" w:rsidRPr="004126E5" w:rsidRDefault="005B25DB" w:rsidP="005B25DB">
      <w:pPr>
        <w:pStyle w:val="BodyText"/>
        <w:rPr>
          <w:rFonts w:cs="Calibri"/>
        </w:rPr>
      </w:pPr>
    </w:p>
    <w:p w14:paraId="5C2E468A" w14:textId="46196784" w:rsidR="005B25DB" w:rsidRPr="004126E5" w:rsidRDefault="005B25DB" w:rsidP="005B25DB">
      <w:pPr>
        <w:pStyle w:val="BodyText"/>
        <w:rPr>
          <w:rFonts w:cs="Calibri"/>
        </w:rPr>
      </w:pPr>
      <w:r w:rsidRPr="004126E5">
        <w:rPr>
          <w:rFonts w:cs="Calibri"/>
        </w:rPr>
        <w:br w:type="page"/>
      </w:r>
    </w:p>
    <w:p w14:paraId="459F2101" w14:textId="77777777" w:rsidR="005B25DB" w:rsidRPr="004126E5" w:rsidRDefault="005B25DB" w:rsidP="00531D5D">
      <w:pPr>
        <w:pStyle w:val="CentredHeadingCaps"/>
        <w:rPr>
          <w:rFonts w:cs="Calibri"/>
        </w:rPr>
      </w:pPr>
      <w:r w:rsidRPr="004126E5">
        <w:rPr>
          <w:rFonts w:cs="Calibri"/>
        </w:rPr>
        <w:lastRenderedPageBreak/>
        <w:t>INVESTOR INFORMATION REQUESTS</w:t>
      </w:r>
    </w:p>
    <w:p w14:paraId="23014FB5" w14:textId="2A3671A1" w:rsidR="005B25DB" w:rsidRPr="006B5D96" w:rsidRDefault="005B25DB" w:rsidP="005B25DB">
      <w:pPr>
        <w:pStyle w:val="BodyText"/>
        <w:rPr>
          <w:rFonts w:cs="Calibri"/>
          <w:szCs w:val="22"/>
        </w:rPr>
      </w:pPr>
      <w:r w:rsidRPr="004126E5">
        <w:rPr>
          <w:rFonts w:cs="Calibri"/>
        </w:rPr>
        <w:t xml:space="preserve">Each prospective investor will be afforded the opportunity to ask questions of, and receive answers from, the Fund Manager concerning the terms and conditions of the offering, the </w:t>
      </w:r>
      <w:r w:rsidR="002960A3">
        <w:rPr>
          <w:rFonts w:cs="Calibri"/>
        </w:rPr>
        <w:t>Tokens</w:t>
      </w:r>
      <w:r w:rsidRPr="004126E5">
        <w:rPr>
          <w:rFonts w:cs="Calibri"/>
        </w:rPr>
        <w:t xml:space="preserve"> and the </w:t>
      </w:r>
      <w:r w:rsidRPr="006B5D96">
        <w:rPr>
          <w:rFonts w:cs="Calibri"/>
          <w:szCs w:val="22"/>
        </w:rPr>
        <w:t xml:space="preserve">information set forth herein and to obtain any additional information or documents, including a copy of the </w:t>
      </w:r>
      <w:r w:rsidR="002960A3" w:rsidRPr="006B5D96">
        <w:rPr>
          <w:rFonts w:cs="Calibri"/>
          <w:szCs w:val="22"/>
        </w:rPr>
        <w:t>Articles</w:t>
      </w:r>
      <w:r w:rsidRPr="006B5D96">
        <w:rPr>
          <w:rFonts w:cs="Calibri"/>
          <w:szCs w:val="22"/>
        </w:rPr>
        <w:t xml:space="preserve"> and the </w:t>
      </w:r>
      <w:r w:rsidR="006D4C23">
        <w:rPr>
          <w:rFonts w:cs="Calibri"/>
          <w:szCs w:val="22"/>
        </w:rPr>
        <w:t>Token Purchaser</w:t>
      </w:r>
      <w:r w:rsidRPr="006B5D96">
        <w:rPr>
          <w:rFonts w:cs="Calibri"/>
          <w:szCs w:val="22"/>
        </w:rPr>
        <w:t xml:space="preserve"> Agreement. Inquiries should be directed to:</w:t>
      </w:r>
    </w:p>
    <w:p w14:paraId="1DB644B9" w14:textId="4503DE85" w:rsidR="00D362F9" w:rsidRPr="006B5D96" w:rsidRDefault="00DF5C35" w:rsidP="0055561D">
      <w:pPr>
        <w:pStyle w:val="BodyText2"/>
        <w:tabs>
          <w:tab w:val="clear" w:pos="720"/>
        </w:tabs>
        <w:spacing w:after="0"/>
        <w:ind w:left="0"/>
        <w:rPr>
          <w:rFonts w:cs="Calibri"/>
          <w:szCs w:val="22"/>
        </w:rPr>
      </w:pPr>
      <w:proofErr w:type="spellStart"/>
      <w:r>
        <w:rPr>
          <w:rFonts w:cs="Calibri"/>
          <w:szCs w:val="22"/>
        </w:rPr>
        <w:t>Neov</w:t>
      </w:r>
      <w:r w:rsidR="00D362F9" w:rsidRPr="006B5D96">
        <w:rPr>
          <w:rFonts w:cs="Calibri"/>
          <w:szCs w:val="22"/>
        </w:rPr>
        <w:t>ision</w:t>
      </w:r>
      <w:proofErr w:type="spellEnd"/>
      <w:r w:rsidR="00D362F9" w:rsidRPr="006B5D96">
        <w:rPr>
          <w:rFonts w:cs="Calibri"/>
          <w:szCs w:val="22"/>
        </w:rPr>
        <w:t xml:space="preserve"> Wealth Management Limited </w:t>
      </w:r>
    </w:p>
    <w:p w14:paraId="784F0ED6" w14:textId="77777777" w:rsidR="006B5D96" w:rsidRPr="006B5D96" w:rsidRDefault="006B5D96" w:rsidP="0055561D">
      <w:pPr>
        <w:pStyle w:val="BodyText2"/>
        <w:tabs>
          <w:tab w:val="clear" w:pos="720"/>
        </w:tabs>
        <w:spacing w:after="0"/>
        <w:ind w:left="0"/>
        <w:rPr>
          <w:rFonts w:cs="Calibri"/>
          <w:szCs w:val="22"/>
        </w:rPr>
      </w:pPr>
    </w:p>
    <w:p w14:paraId="004A174D" w14:textId="15F993A5" w:rsidR="00372BF1" w:rsidRPr="006B5D96" w:rsidRDefault="00D362F9" w:rsidP="00372BF1">
      <w:pPr>
        <w:pStyle w:val="NormalWeb"/>
        <w:spacing w:before="0" w:beforeAutospacing="0" w:after="0" w:afterAutospacing="0"/>
        <w:jc w:val="both"/>
        <w:rPr>
          <w:rFonts w:ascii="Calibri" w:hAnsi="Calibri" w:cs="Calibri"/>
          <w:sz w:val="22"/>
          <w:szCs w:val="22"/>
        </w:rPr>
      </w:pPr>
      <w:r w:rsidRPr="006B5D96">
        <w:rPr>
          <w:rFonts w:ascii="Calibri" w:hAnsi="Calibri" w:cs="Calibri"/>
          <w:sz w:val="22"/>
          <w:szCs w:val="22"/>
        </w:rPr>
        <w:t xml:space="preserve">Attention: </w:t>
      </w:r>
      <w:r w:rsidRPr="006B5D96">
        <w:rPr>
          <w:rFonts w:ascii="Calibri" w:hAnsi="Calibri" w:cs="Calibri"/>
          <w:sz w:val="22"/>
          <w:szCs w:val="22"/>
        </w:rPr>
        <w:tab/>
      </w:r>
      <w:r w:rsidR="00EC4980">
        <w:rPr>
          <w:rFonts w:ascii="Calibri" w:hAnsi="Calibri" w:cs="Calibri"/>
          <w:color w:val="000000"/>
          <w:sz w:val="22"/>
          <w:szCs w:val="22"/>
        </w:rPr>
        <w:t>Anastasia Nazarova</w:t>
      </w:r>
    </w:p>
    <w:p w14:paraId="356C893D" w14:textId="56ED0EEF" w:rsidR="00372BF1" w:rsidRPr="006B5D96" w:rsidRDefault="00372BF1" w:rsidP="00372BF1">
      <w:pPr>
        <w:pStyle w:val="NormalWeb"/>
        <w:spacing w:before="0" w:beforeAutospacing="0" w:after="0" w:afterAutospacing="0"/>
        <w:jc w:val="both"/>
        <w:rPr>
          <w:rFonts w:ascii="Calibri" w:hAnsi="Calibri" w:cs="Calibri"/>
          <w:sz w:val="22"/>
          <w:szCs w:val="22"/>
        </w:rPr>
      </w:pPr>
      <w:r w:rsidRPr="006B5D96">
        <w:rPr>
          <w:rFonts w:ascii="Calibri" w:hAnsi="Calibri" w:cs="Calibri"/>
          <w:color w:val="000000"/>
          <w:sz w:val="22"/>
          <w:szCs w:val="22"/>
        </w:rPr>
        <w:t>Address:</w:t>
      </w:r>
      <w:r w:rsidRPr="006B5D96">
        <w:rPr>
          <w:rStyle w:val="apple-tab-span"/>
          <w:rFonts w:ascii="Calibri" w:hAnsi="Calibri" w:cs="Calibri"/>
          <w:color w:val="000000"/>
          <w:sz w:val="22"/>
          <w:szCs w:val="22"/>
        </w:rPr>
        <w:tab/>
      </w:r>
      <w:r w:rsidRPr="006B5D96">
        <w:rPr>
          <w:rFonts w:ascii="Calibri" w:hAnsi="Calibri" w:cs="Calibri"/>
          <w:color w:val="000000"/>
          <w:sz w:val="22"/>
          <w:szCs w:val="22"/>
        </w:rPr>
        <w:t xml:space="preserve">Level 6, </w:t>
      </w:r>
      <w:proofErr w:type="spellStart"/>
      <w:r w:rsidRPr="006B5D96">
        <w:rPr>
          <w:rFonts w:ascii="Calibri" w:hAnsi="Calibri" w:cs="Calibri"/>
          <w:color w:val="000000"/>
          <w:sz w:val="22"/>
          <w:szCs w:val="22"/>
        </w:rPr>
        <w:t>Sowwah</w:t>
      </w:r>
      <w:proofErr w:type="spellEnd"/>
      <w:r w:rsidRPr="006B5D96">
        <w:rPr>
          <w:rFonts w:ascii="Calibri" w:hAnsi="Calibri" w:cs="Calibri"/>
          <w:color w:val="000000"/>
          <w:sz w:val="22"/>
          <w:szCs w:val="22"/>
        </w:rPr>
        <w:t xml:space="preserve"> Square Tower 4, Al </w:t>
      </w:r>
      <w:proofErr w:type="spellStart"/>
      <w:r w:rsidRPr="006B5D96">
        <w:rPr>
          <w:rFonts w:ascii="Calibri" w:hAnsi="Calibri" w:cs="Calibri"/>
          <w:color w:val="000000"/>
          <w:sz w:val="22"/>
          <w:szCs w:val="22"/>
        </w:rPr>
        <w:t>Maryah</w:t>
      </w:r>
      <w:proofErr w:type="spellEnd"/>
      <w:r w:rsidRPr="006B5D96">
        <w:rPr>
          <w:rFonts w:ascii="Calibri" w:hAnsi="Calibri" w:cs="Calibri"/>
          <w:color w:val="000000"/>
          <w:sz w:val="22"/>
          <w:szCs w:val="22"/>
        </w:rPr>
        <w:t xml:space="preserve"> Island, Abu Dhabi, UAE</w:t>
      </w:r>
    </w:p>
    <w:p w14:paraId="1FD9BFB5" w14:textId="1839224E" w:rsidR="00372BF1" w:rsidRPr="006B5D96" w:rsidRDefault="00372BF1" w:rsidP="00372BF1">
      <w:pPr>
        <w:pStyle w:val="NormalWeb"/>
        <w:spacing w:before="0" w:beforeAutospacing="0" w:after="0" w:afterAutospacing="0"/>
        <w:jc w:val="both"/>
        <w:rPr>
          <w:rFonts w:ascii="Calibri" w:hAnsi="Calibri" w:cs="Calibri"/>
          <w:sz w:val="22"/>
          <w:szCs w:val="22"/>
        </w:rPr>
      </w:pPr>
      <w:r w:rsidRPr="006B5D96">
        <w:rPr>
          <w:rFonts w:ascii="Calibri" w:hAnsi="Calibri" w:cs="Calibri"/>
          <w:color w:val="000000"/>
          <w:sz w:val="22"/>
          <w:szCs w:val="22"/>
        </w:rPr>
        <w:t xml:space="preserve">Tel: </w:t>
      </w:r>
      <w:r w:rsidRPr="006B5D96">
        <w:rPr>
          <w:rStyle w:val="apple-tab-span"/>
          <w:rFonts w:ascii="Calibri" w:hAnsi="Calibri" w:cs="Calibri"/>
          <w:color w:val="000000"/>
          <w:sz w:val="22"/>
          <w:szCs w:val="22"/>
        </w:rPr>
        <w:tab/>
      </w:r>
      <w:r w:rsidRPr="006B5D96">
        <w:rPr>
          <w:rStyle w:val="apple-tab-span"/>
          <w:rFonts w:ascii="Calibri" w:hAnsi="Calibri" w:cs="Calibri"/>
          <w:color w:val="000000"/>
          <w:sz w:val="22"/>
          <w:szCs w:val="22"/>
        </w:rPr>
        <w:tab/>
      </w:r>
      <w:r w:rsidRPr="006B5D96">
        <w:rPr>
          <w:rFonts w:ascii="Calibri" w:hAnsi="Calibri" w:cs="Calibri"/>
          <w:color w:val="000000"/>
          <w:sz w:val="22"/>
          <w:szCs w:val="22"/>
        </w:rPr>
        <w:t>+971(0)2245-1500</w:t>
      </w:r>
    </w:p>
    <w:p w14:paraId="0216960A" w14:textId="6AB7620B" w:rsidR="005B25DB" w:rsidRPr="006B5D96" w:rsidRDefault="00372BF1" w:rsidP="00372BF1">
      <w:pPr>
        <w:pStyle w:val="BodyText2"/>
        <w:tabs>
          <w:tab w:val="clear" w:pos="720"/>
        </w:tabs>
        <w:spacing w:after="0"/>
        <w:ind w:left="0"/>
        <w:rPr>
          <w:rFonts w:cs="Calibri"/>
          <w:szCs w:val="22"/>
        </w:rPr>
      </w:pPr>
      <w:r w:rsidRPr="006B5D96">
        <w:rPr>
          <w:rFonts w:cs="Calibri"/>
          <w:color w:val="000000"/>
          <w:szCs w:val="22"/>
        </w:rPr>
        <w:t>Email:</w:t>
      </w:r>
      <w:r w:rsidRPr="006B5D96">
        <w:rPr>
          <w:rStyle w:val="apple-tab-span"/>
          <w:rFonts w:cs="Calibri"/>
          <w:color w:val="000000"/>
          <w:szCs w:val="22"/>
        </w:rPr>
        <w:tab/>
      </w:r>
      <w:r w:rsidRPr="006B5D96">
        <w:rPr>
          <w:rStyle w:val="apple-tab-span"/>
          <w:rFonts w:cs="Calibri"/>
          <w:color w:val="000000"/>
          <w:szCs w:val="22"/>
        </w:rPr>
        <w:tab/>
      </w:r>
      <w:r w:rsidRPr="006B5D96">
        <w:rPr>
          <w:rFonts w:cs="Calibri"/>
          <w:color w:val="000000"/>
          <w:szCs w:val="22"/>
        </w:rPr>
        <w:t>info@neovision-wealth.com</w:t>
      </w:r>
    </w:p>
    <w:p w14:paraId="76B68CB0" w14:textId="77777777" w:rsidR="005B25DB" w:rsidRPr="004126E5" w:rsidRDefault="005B25DB" w:rsidP="005B25DB">
      <w:pPr>
        <w:pStyle w:val="BodyText"/>
        <w:rPr>
          <w:rFonts w:cs="Calibri"/>
        </w:rPr>
      </w:pPr>
    </w:p>
    <w:p w14:paraId="23A48BB0" w14:textId="77777777" w:rsidR="0055561D" w:rsidRPr="004126E5" w:rsidRDefault="0055561D" w:rsidP="005B25DB">
      <w:pPr>
        <w:pStyle w:val="BodyText"/>
        <w:rPr>
          <w:rFonts w:cs="Calibri"/>
        </w:rPr>
        <w:sectPr w:rsidR="0055561D" w:rsidRPr="004126E5" w:rsidSect="007D10E6">
          <w:footerReference w:type="default" r:id="rId14"/>
          <w:pgSz w:w="11906" w:h="16838" w:code="9"/>
          <w:pgMar w:top="1134" w:right="1418" w:bottom="1134" w:left="1418" w:header="567" w:footer="425" w:gutter="0"/>
          <w:cols w:space="708"/>
          <w:docGrid w:linePitch="360"/>
        </w:sectPr>
      </w:pPr>
    </w:p>
    <w:p w14:paraId="09934812" w14:textId="5612EB7E" w:rsidR="004C64CA" w:rsidRPr="004126E5" w:rsidRDefault="005B25DB" w:rsidP="0055561D">
      <w:pPr>
        <w:pStyle w:val="CentredHeadingCaps"/>
        <w:ind w:left="851"/>
        <w:jc w:val="both"/>
        <w:rPr>
          <w:rFonts w:cs="Calibri"/>
        </w:rPr>
      </w:pPr>
      <w:r w:rsidRPr="004126E5">
        <w:rPr>
          <w:rFonts w:cs="Calibri"/>
        </w:rPr>
        <w:t>THIS PROSPECTUS IS NOT TO BE REPRODUCED OR REDISTRIBUTED WITHOUT THE PRIOR WRITTEN CONSENT OF THE FUND MANAGER.</w:t>
      </w:r>
    </w:p>
    <w:p w14:paraId="1E1E0043" w14:textId="77777777" w:rsidR="0055561D" w:rsidRPr="004126E5" w:rsidRDefault="0055561D" w:rsidP="005B25DB">
      <w:pPr>
        <w:pStyle w:val="BodyText"/>
        <w:rPr>
          <w:rFonts w:cs="Calibri"/>
        </w:rPr>
      </w:pPr>
    </w:p>
    <w:p w14:paraId="2E96305A" w14:textId="77777777" w:rsidR="00CB4289" w:rsidRPr="004126E5" w:rsidRDefault="00CB4289" w:rsidP="005B25DB">
      <w:pPr>
        <w:pStyle w:val="BodyText"/>
        <w:rPr>
          <w:rFonts w:cs="Calibri"/>
        </w:rPr>
        <w:sectPr w:rsidR="00CB4289" w:rsidRPr="004126E5" w:rsidSect="0055561D">
          <w:type w:val="continuous"/>
          <w:pgSz w:w="11906" w:h="16838" w:code="9"/>
          <w:pgMar w:top="1134" w:right="2834" w:bottom="1134" w:left="1418" w:header="567" w:footer="425" w:gutter="0"/>
          <w:cols w:space="708"/>
          <w:docGrid w:linePitch="360"/>
        </w:sectPr>
      </w:pPr>
    </w:p>
    <w:p w14:paraId="2F51E471" w14:textId="405BDC6F" w:rsidR="005B25DB" w:rsidRPr="004126E5" w:rsidRDefault="005B25DB" w:rsidP="00CB4289">
      <w:pPr>
        <w:pStyle w:val="CentredHeadingCaps"/>
        <w:rPr>
          <w:rFonts w:cs="Calibri"/>
        </w:rPr>
      </w:pPr>
      <w:r w:rsidRPr="004126E5">
        <w:rPr>
          <w:rFonts w:cs="Calibri"/>
        </w:rPr>
        <w:lastRenderedPageBreak/>
        <w:t>DIRECTORY</w:t>
      </w:r>
    </w:p>
    <w:tbl>
      <w:tblPr>
        <w:tblW w:w="5000" w:type="pct"/>
        <w:jc w:val="center"/>
        <w:tblLook w:val="0000" w:firstRow="0" w:lastRow="0" w:firstColumn="0" w:lastColumn="0" w:noHBand="0" w:noVBand="0"/>
      </w:tblPr>
      <w:tblGrid>
        <w:gridCol w:w="4535"/>
        <w:gridCol w:w="4535"/>
      </w:tblGrid>
      <w:tr w:rsidR="005B25DB" w:rsidRPr="004126E5" w14:paraId="6C2CF702" w14:textId="77777777" w:rsidTr="00CB4289">
        <w:trPr>
          <w:jc w:val="center"/>
        </w:trPr>
        <w:tc>
          <w:tcPr>
            <w:tcW w:w="5000" w:type="pct"/>
            <w:gridSpan w:val="2"/>
          </w:tcPr>
          <w:p w14:paraId="5E098C7A" w14:textId="77777777" w:rsidR="005B25DB" w:rsidRPr="004126E5" w:rsidRDefault="005B25DB" w:rsidP="005B25DB">
            <w:pPr>
              <w:pStyle w:val="BodyText"/>
              <w:jc w:val="center"/>
              <w:rPr>
                <w:rFonts w:cs="Calibri"/>
                <w:b/>
                <w:bCs/>
              </w:rPr>
            </w:pPr>
            <w:r w:rsidRPr="004126E5">
              <w:rPr>
                <w:rFonts w:cs="Calibri"/>
                <w:b/>
                <w:bCs/>
              </w:rPr>
              <w:t>Fund</w:t>
            </w:r>
          </w:p>
          <w:p w14:paraId="6E0C313D" w14:textId="0B8A0354" w:rsidR="005B25DB" w:rsidRPr="004126E5" w:rsidRDefault="00D362F9" w:rsidP="005B25DB">
            <w:pPr>
              <w:pStyle w:val="BodyText"/>
              <w:spacing w:after="0"/>
              <w:jc w:val="center"/>
              <w:rPr>
                <w:rFonts w:cs="Calibri"/>
              </w:rPr>
            </w:pPr>
            <w:r>
              <w:rPr>
                <w:rFonts w:cs="Calibri"/>
                <w:b/>
                <w:bCs/>
              </w:rPr>
              <w:t xml:space="preserve">Realise </w:t>
            </w:r>
            <w:r w:rsidR="0037226D">
              <w:rPr>
                <w:rFonts w:cs="Calibri"/>
                <w:b/>
                <w:bCs/>
              </w:rPr>
              <w:t>T-</w:t>
            </w:r>
            <w:r w:rsidR="006B5D96">
              <w:rPr>
                <w:rFonts w:cs="Calibri"/>
                <w:b/>
                <w:bCs/>
              </w:rPr>
              <w:t>BILLS</w:t>
            </w:r>
            <w:r w:rsidR="0037226D">
              <w:rPr>
                <w:rFonts w:cs="Calibri"/>
                <w:b/>
                <w:bCs/>
              </w:rPr>
              <w:t xml:space="preserve"> Fund </w:t>
            </w:r>
            <w:r>
              <w:rPr>
                <w:rFonts w:cs="Calibri"/>
                <w:b/>
                <w:bCs/>
              </w:rPr>
              <w:t>(OEIC) Limited</w:t>
            </w:r>
          </w:p>
          <w:p w14:paraId="01B2BC4A" w14:textId="641A2C3C" w:rsidR="0037226D" w:rsidRDefault="0037226D" w:rsidP="0037226D">
            <w:pPr>
              <w:pStyle w:val="BodyText"/>
              <w:spacing w:after="0"/>
              <w:jc w:val="center"/>
              <w:rPr>
                <w:rFonts w:cs="Calibri"/>
                <w:shd w:val="clear" w:color="auto" w:fill="FFFFFF"/>
              </w:rPr>
            </w:pPr>
            <w:r w:rsidRPr="0037226D">
              <w:rPr>
                <w:rFonts w:cs="Calibri"/>
                <w:shd w:val="clear" w:color="auto" w:fill="FFFFFF"/>
              </w:rPr>
              <w:t xml:space="preserve">Office 6, 6th Floor, Al </w:t>
            </w:r>
            <w:proofErr w:type="spellStart"/>
            <w:r w:rsidRPr="0037226D">
              <w:rPr>
                <w:rFonts w:cs="Calibri"/>
                <w:shd w:val="clear" w:color="auto" w:fill="FFFFFF"/>
              </w:rPr>
              <w:t>Khatem</w:t>
            </w:r>
            <w:proofErr w:type="spellEnd"/>
            <w:r w:rsidRPr="0037226D">
              <w:rPr>
                <w:rFonts w:cs="Calibri"/>
                <w:shd w:val="clear" w:color="auto" w:fill="FFFFFF"/>
              </w:rPr>
              <w:t xml:space="preserve"> Tower, </w:t>
            </w:r>
            <w:r w:rsidR="00BC3F3E">
              <w:rPr>
                <w:rFonts w:cs="Calibri"/>
                <w:shd w:val="clear" w:color="auto" w:fill="FFFFFF"/>
              </w:rPr>
              <w:t>ADGM</w:t>
            </w:r>
            <w:r w:rsidRPr="0037226D">
              <w:rPr>
                <w:rFonts w:cs="Calibri"/>
                <w:shd w:val="clear" w:color="auto" w:fill="FFFFFF"/>
              </w:rPr>
              <w:t xml:space="preserve"> Square</w:t>
            </w:r>
          </w:p>
          <w:p w14:paraId="420F9DFE" w14:textId="1BCF7B1D" w:rsidR="005B25DB" w:rsidRPr="004126E5" w:rsidRDefault="0037226D" w:rsidP="005B25DB">
            <w:pPr>
              <w:pStyle w:val="BodyText"/>
              <w:jc w:val="center"/>
              <w:rPr>
                <w:rFonts w:cs="Calibri"/>
              </w:rPr>
            </w:pPr>
            <w:r w:rsidRPr="0037226D">
              <w:rPr>
                <w:rFonts w:cs="Calibri"/>
                <w:shd w:val="clear" w:color="auto" w:fill="FFFFFF"/>
              </w:rPr>
              <w:t xml:space="preserve">Al </w:t>
            </w:r>
            <w:proofErr w:type="spellStart"/>
            <w:r w:rsidRPr="0037226D">
              <w:rPr>
                <w:rFonts w:cs="Calibri"/>
                <w:shd w:val="clear" w:color="auto" w:fill="FFFFFF"/>
              </w:rPr>
              <w:t>Maryah</w:t>
            </w:r>
            <w:proofErr w:type="spellEnd"/>
            <w:r w:rsidRPr="0037226D">
              <w:rPr>
                <w:rFonts w:cs="Calibri"/>
                <w:shd w:val="clear" w:color="auto" w:fill="FFFFFF"/>
              </w:rPr>
              <w:t xml:space="preserve"> Island, Abu Dhabi, United Arab Emirates</w:t>
            </w:r>
          </w:p>
        </w:tc>
      </w:tr>
      <w:tr w:rsidR="005B25DB" w:rsidRPr="004126E5" w14:paraId="4E8C5A1B" w14:textId="77777777" w:rsidTr="00CB4289">
        <w:trPr>
          <w:jc w:val="center"/>
        </w:trPr>
        <w:tc>
          <w:tcPr>
            <w:tcW w:w="5000" w:type="pct"/>
            <w:gridSpan w:val="2"/>
          </w:tcPr>
          <w:p w14:paraId="140CEA7C" w14:textId="77777777" w:rsidR="005B25DB" w:rsidRPr="004126E5" w:rsidRDefault="005B25DB" w:rsidP="005B25DB">
            <w:pPr>
              <w:pStyle w:val="BodyText"/>
              <w:spacing w:after="0"/>
              <w:jc w:val="center"/>
              <w:rPr>
                <w:rFonts w:cs="Calibri"/>
              </w:rPr>
            </w:pPr>
          </w:p>
        </w:tc>
      </w:tr>
      <w:tr w:rsidR="005B25DB" w:rsidRPr="004126E5" w14:paraId="2676954D" w14:textId="77777777" w:rsidTr="00CB4289">
        <w:trPr>
          <w:jc w:val="center"/>
        </w:trPr>
        <w:tc>
          <w:tcPr>
            <w:tcW w:w="2500" w:type="pct"/>
          </w:tcPr>
          <w:p w14:paraId="787A30D9" w14:textId="77777777" w:rsidR="005B25DB" w:rsidRPr="00DF22AB" w:rsidRDefault="00DF22AB" w:rsidP="0037226D">
            <w:pPr>
              <w:pStyle w:val="BodyText"/>
              <w:spacing w:after="0"/>
              <w:jc w:val="center"/>
              <w:rPr>
                <w:rFonts w:cs="Calibri"/>
                <w:b/>
                <w:bCs/>
                <w:shd w:val="clear" w:color="auto" w:fill="FFFFFF"/>
              </w:rPr>
            </w:pPr>
            <w:r w:rsidRPr="00DF22AB">
              <w:rPr>
                <w:rFonts w:cs="Calibri"/>
                <w:b/>
                <w:bCs/>
                <w:shd w:val="clear" w:color="auto" w:fill="FFFFFF"/>
              </w:rPr>
              <w:t>Administrator</w:t>
            </w:r>
          </w:p>
          <w:p w14:paraId="5AC35FDC" w14:textId="77777777" w:rsidR="00DF22AB" w:rsidRPr="00DF22AB" w:rsidRDefault="00DF22AB" w:rsidP="0037226D">
            <w:pPr>
              <w:pStyle w:val="BodyText"/>
              <w:spacing w:after="0"/>
              <w:jc w:val="center"/>
              <w:rPr>
                <w:rFonts w:cs="Calibri"/>
                <w:b/>
                <w:bCs/>
                <w:shd w:val="clear" w:color="auto" w:fill="FFFFFF"/>
              </w:rPr>
            </w:pPr>
          </w:p>
          <w:p w14:paraId="40AE65CE" w14:textId="379C4008" w:rsidR="006B5D96" w:rsidRPr="006B5D96" w:rsidRDefault="001735DD" w:rsidP="006B5D96">
            <w:pPr>
              <w:spacing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2"/>
                <w:szCs w:val="22"/>
                <w:shd w:val="clear" w:color="auto" w:fill="FFFFFF"/>
              </w:rPr>
              <w:t>Ascent Fund Services Ltd.</w:t>
            </w:r>
          </w:p>
          <w:p w14:paraId="7D8462A1" w14:textId="77777777" w:rsidR="006B5D96" w:rsidRPr="006B5D96" w:rsidRDefault="006B5D96" w:rsidP="006B5D96">
            <w:pPr>
              <w:spacing w:line="240" w:lineRule="auto"/>
              <w:jc w:val="left"/>
              <w:rPr>
                <w:rFonts w:ascii="Times New Roman" w:eastAsia="Times New Roman" w:hAnsi="Times New Roman" w:cs="Times New Roman"/>
                <w:sz w:val="24"/>
                <w:szCs w:val="24"/>
              </w:rPr>
            </w:pPr>
          </w:p>
          <w:p w14:paraId="5AC8AFAD" w14:textId="14662CBC" w:rsidR="006B5D96" w:rsidRPr="006B5D96" w:rsidRDefault="00492A29" w:rsidP="006B5D96">
            <w:pPr>
              <w:spacing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2"/>
                <w:szCs w:val="22"/>
                <w:shd w:val="clear" w:color="auto" w:fill="FFFFFF"/>
              </w:rPr>
              <w:t xml:space="preserve">107, </w:t>
            </w:r>
            <w:r w:rsidR="006B5D96" w:rsidRPr="006B5D96">
              <w:rPr>
                <w:rFonts w:ascii="Calibri" w:eastAsia="Times New Roman" w:hAnsi="Calibri" w:cs="Calibri"/>
                <w:color w:val="000000"/>
                <w:sz w:val="22"/>
                <w:szCs w:val="22"/>
                <w:shd w:val="clear" w:color="auto" w:fill="FFFFFF"/>
              </w:rPr>
              <w:t xml:space="preserve">Floor 15, Al </w:t>
            </w:r>
            <w:proofErr w:type="spellStart"/>
            <w:r w:rsidR="006B5D96" w:rsidRPr="006B5D96">
              <w:rPr>
                <w:rFonts w:ascii="Calibri" w:eastAsia="Times New Roman" w:hAnsi="Calibri" w:cs="Calibri"/>
                <w:color w:val="000000"/>
                <w:sz w:val="22"/>
                <w:szCs w:val="22"/>
                <w:shd w:val="clear" w:color="auto" w:fill="FFFFFF"/>
              </w:rPr>
              <w:t>Sarab</w:t>
            </w:r>
            <w:proofErr w:type="spellEnd"/>
            <w:r w:rsidR="006B5D96" w:rsidRPr="006B5D96">
              <w:rPr>
                <w:rFonts w:ascii="Calibri" w:eastAsia="Times New Roman" w:hAnsi="Calibri" w:cs="Calibri"/>
                <w:color w:val="000000"/>
                <w:sz w:val="22"/>
                <w:szCs w:val="22"/>
                <w:shd w:val="clear" w:color="auto" w:fill="FFFFFF"/>
              </w:rPr>
              <w:t xml:space="preserve"> Tower, </w:t>
            </w:r>
            <w:r w:rsidR="00EC4980">
              <w:rPr>
                <w:rFonts w:ascii="Calibri" w:eastAsia="Times New Roman" w:hAnsi="Calibri" w:cs="Calibri"/>
                <w:color w:val="000000"/>
                <w:sz w:val="22"/>
                <w:szCs w:val="22"/>
                <w:shd w:val="clear" w:color="auto" w:fill="FFFFFF"/>
              </w:rPr>
              <w:t>ADGM</w:t>
            </w:r>
            <w:r w:rsidR="006B5D96" w:rsidRPr="006B5D96">
              <w:rPr>
                <w:rFonts w:ascii="Calibri" w:eastAsia="Times New Roman" w:hAnsi="Calibri" w:cs="Calibri"/>
                <w:color w:val="000000"/>
                <w:sz w:val="22"/>
                <w:szCs w:val="22"/>
                <w:shd w:val="clear" w:color="auto" w:fill="FFFFFF"/>
              </w:rPr>
              <w:t xml:space="preserve"> Square Al </w:t>
            </w:r>
            <w:proofErr w:type="spellStart"/>
            <w:r w:rsidR="006B5D96" w:rsidRPr="006B5D96">
              <w:rPr>
                <w:rFonts w:ascii="Calibri" w:eastAsia="Times New Roman" w:hAnsi="Calibri" w:cs="Calibri"/>
                <w:color w:val="000000"/>
                <w:sz w:val="22"/>
                <w:szCs w:val="22"/>
                <w:shd w:val="clear" w:color="auto" w:fill="FFFFFF"/>
              </w:rPr>
              <w:t>Maryah</w:t>
            </w:r>
            <w:proofErr w:type="spellEnd"/>
            <w:r w:rsidR="006B5D96" w:rsidRPr="006B5D96">
              <w:rPr>
                <w:rFonts w:ascii="Calibri" w:eastAsia="Times New Roman" w:hAnsi="Calibri" w:cs="Calibri"/>
                <w:color w:val="000000"/>
                <w:sz w:val="22"/>
                <w:szCs w:val="22"/>
                <w:shd w:val="clear" w:color="auto" w:fill="FFFFFF"/>
              </w:rPr>
              <w:t xml:space="preserve"> Island, Abu Dhabi, United Arab Emirates</w:t>
            </w:r>
          </w:p>
          <w:p w14:paraId="699DAB8D" w14:textId="21FB4C64" w:rsidR="00DF22AB" w:rsidRPr="0037226D" w:rsidRDefault="00DF22AB" w:rsidP="006B5D96">
            <w:pPr>
              <w:pStyle w:val="BodyText"/>
              <w:spacing w:after="0"/>
              <w:rPr>
                <w:rFonts w:cs="Calibri"/>
                <w:shd w:val="clear" w:color="auto" w:fill="FFFFFF"/>
              </w:rPr>
            </w:pPr>
          </w:p>
        </w:tc>
        <w:tc>
          <w:tcPr>
            <w:tcW w:w="2500" w:type="pct"/>
          </w:tcPr>
          <w:p w14:paraId="60CB2B25" w14:textId="77777777" w:rsidR="005B25DB" w:rsidRPr="004126E5" w:rsidRDefault="005B25DB" w:rsidP="005B25DB">
            <w:pPr>
              <w:pStyle w:val="BodyText"/>
              <w:jc w:val="center"/>
              <w:rPr>
                <w:rFonts w:cs="Calibri"/>
                <w:b/>
                <w:bCs/>
              </w:rPr>
            </w:pPr>
            <w:r w:rsidRPr="004126E5">
              <w:rPr>
                <w:rFonts w:cs="Calibri"/>
                <w:b/>
                <w:bCs/>
              </w:rPr>
              <w:t>Fund Manager</w:t>
            </w:r>
          </w:p>
          <w:p w14:paraId="11A8AC39" w14:textId="02AE8E48" w:rsidR="005B25DB" w:rsidRPr="004126E5" w:rsidRDefault="00DF5C35" w:rsidP="005B25DB">
            <w:pPr>
              <w:pStyle w:val="BodyText"/>
              <w:spacing w:after="0"/>
              <w:jc w:val="center"/>
              <w:rPr>
                <w:rFonts w:cs="Calibri"/>
                <w:b/>
                <w:bCs/>
              </w:rPr>
            </w:pPr>
            <w:proofErr w:type="spellStart"/>
            <w:r>
              <w:rPr>
                <w:rFonts w:cs="Calibri"/>
                <w:b/>
                <w:bCs/>
              </w:rPr>
              <w:t>Neov</w:t>
            </w:r>
            <w:r w:rsidR="00BC3F3E">
              <w:rPr>
                <w:rFonts w:cs="Calibri"/>
                <w:b/>
                <w:bCs/>
              </w:rPr>
              <w:t>ision</w:t>
            </w:r>
            <w:proofErr w:type="spellEnd"/>
            <w:r w:rsidR="00BC3F3E">
              <w:rPr>
                <w:rFonts w:cs="Calibri"/>
                <w:b/>
                <w:bCs/>
              </w:rPr>
              <w:t xml:space="preserve"> Wealth Management Limited</w:t>
            </w:r>
          </w:p>
          <w:p w14:paraId="703B1A8D" w14:textId="506A3814" w:rsidR="005B25DB" w:rsidRPr="004126E5" w:rsidRDefault="0037226D" w:rsidP="005B25DB">
            <w:pPr>
              <w:pStyle w:val="BodyText"/>
              <w:jc w:val="center"/>
              <w:rPr>
                <w:rFonts w:cs="Calibri"/>
              </w:rPr>
            </w:pPr>
            <w:r w:rsidRPr="0037226D">
              <w:rPr>
                <w:rFonts w:cs="Calibri"/>
                <w:shd w:val="clear" w:color="auto" w:fill="FFFFFF"/>
              </w:rPr>
              <w:t xml:space="preserve">Office 6, 6th Floor, Al </w:t>
            </w:r>
            <w:proofErr w:type="spellStart"/>
            <w:r w:rsidRPr="0037226D">
              <w:rPr>
                <w:rFonts w:cs="Calibri"/>
                <w:shd w:val="clear" w:color="auto" w:fill="FFFFFF"/>
              </w:rPr>
              <w:t>Khatem</w:t>
            </w:r>
            <w:proofErr w:type="spellEnd"/>
            <w:r w:rsidRPr="0037226D">
              <w:rPr>
                <w:rFonts w:cs="Calibri"/>
                <w:shd w:val="clear" w:color="auto" w:fill="FFFFFF"/>
              </w:rPr>
              <w:t xml:space="preserve"> Tower, </w:t>
            </w:r>
            <w:r w:rsidR="00BC3F3E">
              <w:rPr>
                <w:rFonts w:cs="Calibri"/>
                <w:shd w:val="clear" w:color="auto" w:fill="FFFFFF"/>
              </w:rPr>
              <w:t>ADGM</w:t>
            </w:r>
            <w:r w:rsidR="00BC3F3E" w:rsidRPr="0037226D">
              <w:rPr>
                <w:rFonts w:cs="Calibri"/>
                <w:shd w:val="clear" w:color="auto" w:fill="FFFFFF"/>
              </w:rPr>
              <w:t xml:space="preserve"> </w:t>
            </w:r>
            <w:r w:rsidRPr="0037226D">
              <w:rPr>
                <w:rFonts w:cs="Calibri"/>
                <w:shd w:val="clear" w:color="auto" w:fill="FFFFFF"/>
              </w:rPr>
              <w:t>Square</w:t>
            </w:r>
            <w:r>
              <w:rPr>
                <w:rFonts w:cs="Calibri"/>
                <w:shd w:val="clear" w:color="auto" w:fill="FFFFFF"/>
              </w:rPr>
              <w:t xml:space="preserve"> </w:t>
            </w:r>
            <w:r w:rsidRPr="0037226D">
              <w:rPr>
                <w:rFonts w:cs="Calibri"/>
                <w:shd w:val="clear" w:color="auto" w:fill="FFFFFF"/>
              </w:rPr>
              <w:t xml:space="preserve">Al </w:t>
            </w:r>
            <w:proofErr w:type="spellStart"/>
            <w:r w:rsidRPr="0037226D">
              <w:rPr>
                <w:rFonts w:cs="Calibri"/>
                <w:shd w:val="clear" w:color="auto" w:fill="FFFFFF"/>
              </w:rPr>
              <w:t>Maryah</w:t>
            </w:r>
            <w:proofErr w:type="spellEnd"/>
            <w:r w:rsidRPr="0037226D">
              <w:rPr>
                <w:rFonts w:cs="Calibri"/>
                <w:shd w:val="clear" w:color="auto" w:fill="FFFFFF"/>
              </w:rPr>
              <w:t xml:space="preserve"> Island, Abu Dhabi, United Arab Emirates</w:t>
            </w:r>
          </w:p>
        </w:tc>
      </w:tr>
      <w:tr w:rsidR="005B25DB" w:rsidRPr="004126E5" w14:paraId="2AF619CD" w14:textId="77777777" w:rsidTr="00CB4289">
        <w:trPr>
          <w:jc w:val="center"/>
        </w:trPr>
        <w:tc>
          <w:tcPr>
            <w:tcW w:w="2500" w:type="pct"/>
          </w:tcPr>
          <w:p w14:paraId="2E4A6B0A" w14:textId="77777777" w:rsidR="005B25DB" w:rsidRPr="004126E5" w:rsidRDefault="005B25DB" w:rsidP="005B25DB">
            <w:pPr>
              <w:pStyle w:val="BodyText"/>
              <w:spacing w:after="0"/>
              <w:jc w:val="center"/>
              <w:rPr>
                <w:rFonts w:cs="Calibri"/>
              </w:rPr>
            </w:pPr>
          </w:p>
        </w:tc>
        <w:tc>
          <w:tcPr>
            <w:tcW w:w="2500" w:type="pct"/>
          </w:tcPr>
          <w:p w14:paraId="77F91DB8" w14:textId="77777777" w:rsidR="005B25DB" w:rsidRPr="004126E5" w:rsidRDefault="005B25DB" w:rsidP="005B25DB">
            <w:pPr>
              <w:pStyle w:val="BodyText"/>
              <w:spacing w:after="0"/>
              <w:jc w:val="center"/>
              <w:rPr>
                <w:rFonts w:cs="Calibri"/>
              </w:rPr>
            </w:pPr>
          </w:p>
        </w:tc>
      </w:tr>
      <w:tr w:rsidR="005B25DB" w:rsidRPr="004126E5" w14:paraId="268419F3" w14:textId="77777777" w:rsidTr="00CB4289">
        <w:trPr>
          <w:jc w:val="center"/>
        </w:trPr>
        <w:tc>
          <w:tcPr>
            <w:tcW w:w="2500" w:type="pct"/>
          </w:tcPr>
          <w:p w14:paraId="3E488DFD" w14:textId="1D8282A9" w:rsidR="005B25DB" w:rsidRPr="004126E5" w:rsidRDefault="007009A3" w:rsidP="005B25DB">
            <w:pPr>
              <w:pStyle w:val="BodyText"/>
              <w:jc w:val="center"/>
              <w:rPr>
                <w:rFonts w:cs="Calibri"/>
                <w:b/>
                <w:bCs/>
              </w:rPr>
            </w:pPr>
            <w:proofErr w:type="spellStart"/>
            <w:r>
              <w:rPr>
                <w:rFonts w:cs="Calibri"/>
                <w:b/>
                <w:bCs/>
              </w:rPr>
              <w:t>Tokeniser</w:t>
            </w:r>
            <w:proofErr w:type="spellEnd"/>
            <w:r>
              <w:rPr>
                <w:rFonts w:cs="Calibri"/>
                <w:b/>
                <w:bCs/>
              </w:rPr>
              <w:t xml:space="preserve"> and </w:t>
            </w:r>
            <w:r w:rsidR="00DF22AB">
              <w:rPr>
                <w:rFonts w:cs="Calibri"/>
                <w:b/>
                <w:bCs/>
              </w:rPr>
              <w:t>Technical Advisor</w:t>
            </w:r>
          </w:p>
          <w:p w14:paraId="2C1E2BA5" w14:textId="7FC5BF69" w:rsidR="005B25DB" w:rsidRPr="004126E5" w:rsidRDefault="007009A3" w:rsidP="005B25DB">
            <w:pPr>
              <w:pStyle w:val="BodyText"/>
              <w:spacing w:after="0"/>
              <w:jc w:val="center"/>
              <w:rPr>
                <w:rFonts w:cs="Calibri"/>
                <w:b/>
                <w:bCs/>
                <w:shd w:val="clear" w:color="auto" w:fill="FFFFFF"/>
              </w:rPr>
            </w:pPr>
            <w:r>
              <w:rPr>
                <w:rFonts w:cs="Calibri"/>
                <w:b/>
                <w:bCs/>
                <w:shd w:val="clear" w:color="auto" w:fill="FFFFFF"/>
              </w:rPr>
              <w:t>Realize Technology Solutions Limited</w:t>
            </w:r>
          </w:p>
          <w:p w14:paraId="12D37D8F" w14:textId="77777777" w:rsidR="00372BF1" w:rsidRDefault="00372BF1" w:rsidP="00372BF1">
            <w:pPr>
              <w:pStyle w:val="NormalWeb"/>
              <w:spacing w:before="0" w:beforeAutospacing="0" w:after="0" w:afterAutospacing="0"/>
              <w:jc w:val="center"/>
            </w:pPr>
            <w:r>
              <w:rPr>
                <w:rFonts w:ascii="Calibri" w:hAnsi="Calibri" w:cs="Calibri"/>
                <w:color w:val="000000"/>
                <w:sz w:val="22"/>
                <w:szCs w:val="22"/>
                <w:shd w:val="clear" w:color="auto" w:fill="FFFFFF"/>
              </w:rPr>
              <w:t>Office No. 7, 13th floor </w:t>
            </w:r>
          </w:p>
          <w:p w14:paraId="568487EA" w14:textId="77777777" w:rsidR="00372BF1" w:rsidRDefault="00372BF1" w:rsidP="00372BF1">
            <w:pPr>
              <w:pStyle w:val="NormalWeb"/>
              <w:spacing w:before="0" w:beforeAutospacing="0" w:after="0" w:afterAutospacing="0"/>
              <w:jc w:val="center"/>
            </w:pPr>
            <w:proofErr w:type="spellStart"/>
            <w:r>
              <w:rPr>
                <w:rFonts w:ascii="Calibri" w:hAnsi="Calibri" w:cs="Calibri"/>
                <w:color w:val="000000"/>
                <w:sz w:val="22"/>
                <w:szCs w:val="22"/>
                <w:shd w:val="clear" w:color="auto" w:fill="FFFFFF"/>
              </w:rPr>
              <w:t>Tamouh</w:t>
            </w:r>
            <w:proofErr w:type="spellEnd"/>
            <w:r>
              <w:rPr>
                <w:rFonts w:ascii="Calibri" w:hAnsi="Calibri" w:cs="Calibri"/>
                <w:color w:val="000000"/>
                <w:sz w:val="22"/>
                <w:szCs w:val="22"/>
                <w:shd w:val="clear" w:color="auto" w:fill="FFFFFF"/>
              </w:rPr>
              <w:t xml:space="preserve"> Tower, </w:t>
            </w:r>
            <w:proofErr w:type="spellStart"/>
            <w:r>
              <w:rPr>
                <w:rFonts w:ascii="Calibri" w:hAnsi="Calibri" w:cs="Calibri"/>
                <w:color w:val="000000"/>
                <w:sz w:val="22"/>
                <w:szCs w:val="22"/>
                <w:shd w:val="clear" w:color="auto" w:fill="FFFFFF"/>
              </w:rPr>
              <w:t>Tamouh</w:t>
            </w:r>
            <w:proofErr w:type="spellEnd"/>
            <w:r>
              <w:rPr>
                <w:rFonts w:ascii="Calibri" w:hAnsi="Calibri" w:cs="Calibri"/>
                <w:color w:val="000000"/>
                <w:sz w:val="22"/>
                <w:szCs w:val="22"/>
                <w:shd w:val="clear" w:color="auto" w:fill="FFFFFF"/>
              </w:rPr>
              <w:t>, Al Reem Island</w:t>
            </w:r>
          </w:p>
          <w:p w14:paraId="355EFD9A" w14:textId="77777777" w:rsidR="00372BF1" w:rsidRDefault="00372BF1" w:rsidP="00372BF1">
            <w:pPr>
              <w:pStyle w:val="NormalWeb"/>
              <w:spacing w:before="0" w:beforeAutospacing="0" w:after="0" w:afterAutospacing="0"/>
              <w:jc w:val="center"/>
            </w:pPr>
            <w:r>
              <w:rPr>
                <w:rFonts w:ascii="Calibri" w:hAnsi="Calibri" w:cs="Calibri"/>
                <w:color w:val="000000"/>
                <w:sz w:val="22"/>
                <w:szCs w:val="22"/>
                <w:shd w:val="clear" w:color="auto" w:fill="FFFFFF"/>
              </w:rPr>
              <w:t>Abu Dhabi, UAE</w:t>
            </w:r>
          </w:p>
          <w:p w14:paraId="133F2912" w14:textId="1E7F4053" w:rsidR="005B25DB" w:rsidRPr="004126E5" w:rsidRDefault="005B25DB" w:rsidP="0037226D">
            <w:pPr>
              <w:pStyle w:val="BodyText"/>
              <w:spacing w:after="0"/>
              <w:jc w:val="center"/>
              <w:rPr>
                <w:rFonts w:cs="Calibri"/>
              </w:rPr>
            </w:pPr>
          </w:p>
        </w:tc>
        <w:tc>
          <w:tcPr>
            <w:tcW w:w="2500" w:type="pct"/>
          </w:tcPr>
          <w:p w14:paraId="79175E1E" w14:textId="77777777" w:rsidR="005B25DB" w:rsidRPr="004126E5" w:rsidRDefault="005B25DB" w:rsidP="005B25DB">
            <w:pPr>
              <w:pStyle w:val="BodyText"/>
              <w:jc w:val="center"/>
              <w:rPr>
                <w:rFonts w:cs="Calibri"/>
                <w:b/>
                <w:bCs/>
              </w:rPr>
            </w:pPr>
            <w:r w:rsidRPr="004126E5">
              <w:rPr>
                <w:rFonts w:cs="Calibri"/>
                <w:b/>
                <w:bCs/>
              </w:rPr>
              <w:t>Auditor</w:t>
            </w:r>
          </w:p>
          <w:p w14:paraId="7F9FE134" w14:textId="7CE4C193" w:rsidR="005B25DB" w:rsidRPr="00372BF1" w:rsidRDefault="00372BF1" w:rsidP="00372BF1">
            <w:pPr>
              <w:pStyle w:val="BodyText"/>
              <w:spacing w:after="0"/>
              <w:jc w:val="center"/>
              <w:rPr>
                <w:rFonts w:cs="Calibri"/>
                <w:b/>
                <w:bCs/>
              </w:rPr>
            </w:pPr>
            <w:r w:rsidRPr="00372BF1">
              <w:rPr>
                <w:rFonts w:cs="Calibri"/>
                <w:b/>
                <w:bCs/>
              </w:rPr>
              <w:t>Grant Thornton</w:t>
            </w:r>
          </w:p>
          <w:p w14:paraId="338F9641" w14:textId="159B507D" w:rsidR="005B25DB" w:rsidRPr="004126E5" w:rsidRDefault="00372BF1" w:rsidP="005B25DB">
            <w:pPr>
              <w:pStyle w:val="BodyText"/>
              <w:jc w:val="center"/>
              <w:rPr>
                <w:rFonts w:cs="Calibri"/>
              </w:rPr>
            </w:pPr>
            <w:r>
              <w:rPr>
                <w:rFonts w:cs="Calibri"/>
                <w:color w:val="000000"/>
                <w:szCs w:val="22"/>
                <w:shd w:val="clear" w:color="auto" w:fill="FFFFFF"/>
              </w:rPr>
              <w:t xml:space="preserve">Al Sila Tower, </w:t>
            </w:r>
            <w:r w:rsidR="00EC4980">
              <w:rPr>
                <w:rFonts w:cs="Calibri"/>
                <w:color w:val="000000"/>
                <w:szCs w:val="22"/>
                <w:shd w:val="clear" w:color="auto" w:fill="FFFFFF"/>
              </w:rPr>
              <w:t>ADGM</w:t>
            </w:r>
            <w:r>
              <w:rPr>
                <w:rFonts w:cs="Calibri"/>
                <w:color w:val="000000"/>
                <w:szCs w:val="22"/>
                <w:shd w:val="clear" w:color="auto" w:fill="FFFFFF"/>
              </w:rPr>
              <w:t xml:space="preserve"> Square Al </w:t>
            </w:r>
            <w:proofErr w:type="spellStart"/>
            <w:r>
              <w:rPr>
                <w:rFonts w:cs="Calibri"/>
                <w:color w:val="000000"/>
                <w:szCs w:val="22"/>
                <w:shd w:val="clear" w:color="auto" w:fill="FFFFFF"/>
              </w:rPr>
              <w:t>Maryah</w:t>
            </w:r>
            <w:proofErr w:type="spellEnd"/>
            <w:r>
              <w:rPr>
                <w:rFonts w:cs="Calibri"/>
                <w:color w:val="000000"/>
                <w:szCs w:val="22"/>
                <w:shd w:val="clear" w:color="auto" w:fill="FFFFFF"/>
              </w:rPr>
              <w:t xml:space="preserve"> Island, Abu Dhabi, United Arab Emirates</w:t>
            </w:r>
          </w:p>
        </w:tc>
      </w:tr>
      <w:tr w:rsidR="005B25DB" w:rsidRPr="004126E5" w14:paraId="2C031309" w14:textId="77777777" w:rsidTr="00CB4289">
        <w:trPr>
          <w:jc w:val="center"/>
        </w:trPr>
        <w:tc>
          <w:tcPr>
            <w:tcW w:w="2500" w:type="pct"/>
          </w:tcPr>
          <w:p w14:paraId="34E44D0E" w14:textId="77777777" w:rsidR="005B25DB" w:rsidRPr="004126E5" w:rsidRDefault="005B25DB" w:rsidP="005B25DB">
            <w:pPr>
              <w:pStyle w:val="BodyText"/>
              <w:spacing w:after="0"/>
              <w:jc w:val="center"/>
              <w:rPr>
                <w:rFonts w:cs="Calibri"/>
              </w:rPr>
            </w:pPr>
          </w:p>
        </w:tc>
        <w:tc>
          <w:tcPr>
            <w:tcW w:w="2500" w:type="pct"/>
          </w:tcPr>
          <w:p w14:paraId="356CDA65" w14:textId="77777777" w:rsidR="005B25DB" w:rsidRPr="004126E5" w:rsidRDefault="005B25DB" w:rsidP="005B25DB">
            <w:pPr>
              <w:pStyle w:val="BodyText"/>
              <w:spacing w:after="0"/>
              <w:jc w:val="center"/>
              <w:rPr>
                <w:rFonts w:cs="Calibri"/>
              </w:rPr>
            </w:pPr>
          </w:p>
        </w:tc>
      </w:tr>
      <w:tr w:rsidR="005B25DB" w:rsidRPr="004126E5" w14:paraId="7EB6A347" w14:textId="77777777" w:rsidTr="00CB4289">
        <w:trPr>
          <w:jc w:val="center"/>
        </w:trPr>
        <w:tc>
          <w:tcPr>
            <w:tcW w:w="2500" w:type="pct"/>
          </w:tcPr>
          <w:p w14:paraId="0CFDF88B" w14:textId="77777777" w:rsidR="005B25DB" w:rsidRPr="004126E5" w:rsidRDefault="005B25DB" w:rsidP="005B25DB">
            <w:pPr>
              <w:pStyle w:val="BodyText"/>
              <w:jc w:val="center"/>
              <w:rPr>
                <w:rFonts w:cs="Calibri"/>
                <w:b/>
                <w:bCs/>
                <w:color w:val="000000" w:themeColor="text1"/>
              </w:rPr>
            </w:pPr>
            <w:r w:rsidRPr="004126E5">
              <w:rPr>
                <w:rFonts w:cs="Calibri"/>
                <w:b/>
                <w:bCs/>
                <w:color w:val="000000" w:themeColor="text1"/>
              </w:rPr>
              <w:t>Legal Counsel</w:t>
            </w:r>
          </w:p>
          <w:p w14:paraId="2E4869D8" w14:textId="77777777" w:rsidR="005B25DB" w:rsidRPr="004126E5" w:rsidRDefault="005B25DB" w:rsidP="005B25DB">
            <w:pPr>
              <w:pStyle w:val="BodyText"/>
              <w:spacing w:after="0"/>
              <w:jc w:val="center"/>
              <w:rPr>
                <w:rFonts w:cs="Calibri"/>
                <w:b/>
                <w:bCs/>
                <w:color w:val="000000" w:themeColor="text1"/>
              </w:rPr>
            </w:pPr>
            <w:proofErr w:type="spellStart"/>
            <w:r w:rsidRPr="004126E5">
              <w:rPr>
                <w:rFonts w:cs="Calibri"/>
                <w:b/>
                <w:bCs/>
                <w:color w:val="000000" w:themeColor="text1"/>
              </w:rPr>
              <w:t>Addleshaw</w:t>
            </w:r>
            <w:proofErr w:type="spellEnd"/>
            <w:r w:rsidRPr="004126E5">
              <w:rPr>
                <w:rFonts w:cs="Calibri"/>
                <w:b/>
                <w:bCs/>
                <w:color w:val="000000" w:themeColor="text1"/>
              </w:rPr>
              <w:t xml:space="preserve"> Goddard (Middle East) LLP</w:t>
            </w:r>
          </w:p>
          <w:p w14:paraId="2B11434F" w14:textId="77777777" w:rsidR="005B25DB" w:rsidRPr="004126E5" w:rsidRDefault="005B25DB" w:rsidP="005B25DB">
            <w:pPr>
              <w:pStyle w:val="BodyText"/>
              <w:spacing w:after="0"/>
              <w:jc w:val="center"/>
              <w:rPr>
                <w:rFonts w:cs="Calibri"/>
                <w:color w:val="000000" w:themeColor="text1"/>
              </w:rPr>
            </w:pPr>
            <w:r w:rsidRPr="004126E5">
              <w:rPr>
                <w:rFonts w:cs="Calibri"/>
                <w:color w:val="000000" w:themeColor="text1"/>
              </w:rPr>
              <w:t>Level 6, Burj Daman Tower</w:t>
            </w:r>
          </w:p>
          <w:p w14:paraId="504FFE3F" w14:textId="77777777" w:rsidR="005B25DB" w:rsidRPr="004126E5" w:rsidRDefault="005B25DB" w:rsidP="005B25DB">
            <w:pPr>
              <w:pStyle w:val="BodyText"/>
              <w:spacing w:after="0"/>
              <w:jc w:val="center"/>
              <w:rPr>
                <w:rFonts w:cs="Calibri"/>
                <w:color w:val="000000" w:themeColor="text1"/>
              </w:rPr>
            </w:pPr>
            <w:r w:rsidRPr="004126E5">
              <w:rPr>
                <w:rFonts w:cs="Calibri"/>
                <w:color w:val="000000" w:themeColor="text1"/>
              </w:rPr>
              <w:t>Dubai International Financial Centre</w:t>
            </w:r>
          </w:p>
          <w:p w14:paraId="27D99AD8" w14:textId="77777777" w:rsidR="005B25DB" w:rsidRPr="004126E5" w:rsidRDefault="005B25DB" w:rsidP="005B25DB">
            <w:pPr>
              <w:pStyle w:val="BodyText"/>
              <w:spacing w:after="0"/>
              <w:jc w:val="center"/>
              <w:rPr>
                <w:rFonts w:cs="Calibri"/>
                <w:color w:val="000000" w:themeColor="text1"/>
              </w:rPr>
            </w:pPr>
            <w:r w:rsidRPr="004126E5">
              <w:rPr>
                <w:rFonts w:cs="Calibri"/>
                <w:color w:val="000000" w:themeColor="text1"/>
              </w:rPr>
              <w:t>PO Box 506555</w:t>
            </w:r>
          </w:p>
          <w:p w14:paraId="03685828" w14:textId="612CAC81" w:rsidR="005B25DB" w:rsidRPr="004126E5" w:rsidRDefault="005B25DB" w:rsidP="005B25DB">
            <w:pPr>
              <w:pStyle w:val="BodyText"/>
              <w:jc w:val="center"/>
              <w:rPr>
                <w:rFonts w:cs="Calibri"/>
              </w:rPr>
            </w:pPr>
            <w:r w:rsidRPr="004126E5">
              <w:rPr>
                <w:rFonts w:cs="Calibri"/>
                <w:color w:val="000000" w:themeColor="text1"/>
              </w:rPr>
              <w:t>Dubai, United Arab Emirates</w:t>
            </w:r>
          </w:p>
        </w:tc>
        <w:tc>
          <w:tcPr>
            <w:tcW w:w="2500" w:type="pct"/>
          </w:tcPr>
          <w:p w14:paraId="1DDCD29E" w14:textId="5E63AAF8" w:rsidR="007009A3" w:rsidRPr="004126E5" w:rsidRDefault="007009A3" w:rsidP="007009A3">
            <w:pPr>
              <w:pStyle w:val="BodyText"/>
              <w:jc w:val="center"/>
              <w:rPr>
                <w:rFonts w:cs="Calibri"/>
                <w:b/>
                <w:bCs/>
              </w:rPr>
            </w:pPr>
            <w:r>
              <w:rPr>
                <w:rFonts w:cs="Calibri"/>
                <w:b/>
                <w:bCs/>
              </w:rPr>
              <w:t>Technical Advisor</w:t>
            </w:r>
          </w:p>
          <w:p w14:paraId="3B88CC38" w14:textId="1409FF7D" w:rsidR="007009A3" w:rsidRPr="004126E5" w:rsidRDefault="007009A3" w:rsidP="007009A3">
            <w:pPr>
              <w:pStyle w:val="BodyText"/>
              <w:spacing w:after="0"/>
              <w:jc w:val="center"/>
              <w:rPr>
                <w:rFonts w:cs="Calibri"/>
                <w:b/>
                <w:bCs/>
                <w:shd w:val="clear" w:color="auto" w:fill="FFFFFF"/>
              </w:rPr>
            </w:pPr>
            <w:proofErr w:type="spellStart"/>
            <w:r>
              <w:rPr>
                <w:rFonts w:cs="Calibri"/>
                <w:b/>
                <w:bCs/>
                <w:shd w:val="clear" w:color="auto" w:fill="FFFFFF"/>
              </w:rPr>
              <w:t>Nakama</w:t>
            </w:r>
            <w:proofErr w:type="spellEnd"/>
            <w:r w:rsidR="00372BF1">
              <w:rPr>
                <w:rFonts w:cs="Calibri"/>
                <w:b/>
                <w:bCs/>
                <w:shd w:val="clear" w:color="auto" w:fill="FFFFFF"/>
              </w:rPr>
              <w:t xml:space="preserve"> Limited</w:t>
            </w:r>
          </w:p>
          <w:p w14:paraId="647556CF" w14:textId="77777777" w:rsidR="00372BF1" w:rsidRDefault="00372BF1" w:rsidP="00372BF1">
            <w:pPr>
              <w:pStyle w:val="NormalWeb"/>
              <w:spacing w:before="0" w:beforeAutospacing="0" w:after="0" w:afterAutospacing="0"/>
              <w:jc w:val="center"/>
            </w:pPr>
            <w:r>
              <w:rPr>
                <w:rFonts w:ascii="Calibri" w:hAnsi="Calibri" w:cs="Calibri"/>
                <w:color w:val="000000"/>
                <w:sz w:val="22"/>
                <w:szCs w:val="22"/>
              </w:rPr>
              <w:t xml:space="preserve">65 </w:t>
            </w:r>
            <w:proofErr w:type="spellStart"/>
            <w:r>
              <w:rPr>
                <w:rFonts w:ascii="Calibri" w:hAnsi="Calibri" w:cs="Calibri"/>
                <w:color w:val="000000"/>
                <w:sz w:val="22"/>
                <w:szCs w:val="22"/>
              </w:rPr>
              <w:t>Casamayor</w:t>
            </w:r>
            <w:proofErr w:type="spellEnd"/>
            <w:r>
              <w:rPr>
                <w:rFonts w:ascii="Calibri" w:hAnsi="Calibri" w:cs="Calibri"/>
                <w:color w:val="000000"/>
                <w:sz w:val="22"/>
                <w:szCs w:val="22"/>
              </w:rPr>
              <w:t>, Clos St Andre</w:t>
            </w:r>
          </w:p>
          <w:p w14:paraId="04902163" w14:textId="77777777" w:rsidR="00372BF1" w:rsidRDefault="00372BF1" w:rsidP="00372BF1">
            <w:pPr>
              <w:pStyle w:val="NormalWeb"/>
              <w:spacing w:before="0" w:beforeAutospacing="0" w:after="0" w:afterAutospacing="0"/>
              <w:jc w:val="center"/>
            </w:pPr>
            <w:r>
              <w:rPr>
                <w:rFonts w:ascii="Calibri" w:hAnsi="Calibri" w:cs="Calibri"/>
                <w:color w:val="000000"/>
                <w:sz w:val="22"/>
                <w:szCs w:val="22"/>
              </w:rPr>
              <w:t>St Helier, Jersey, JE2 3JH</w:t>
            </w:r>
          </w:p>
          <w:p w14:paraId="263C9F43" w14:textId="2335DD3E" w:rsidR="005B25DB" w:rsidRPr="004126E5" w:rsidRDefault="005B25DB" w:rsidP="007009A3">
            <w:pPr>
              <w:pStyle w:val="BodyText"/>
              <w:jc w:val="center"/>
              <w:rPr>
                <w:rFonts w:cs="Calibri"/>
              </w:rPr>
            </w:pPr>
          </w:p>
        </w:tc>
      </w:tr>
    </w:tbl>
    <w:p w14:paraId="190E8B7A" w14:textId="2D2F4D74" w:rsidR="00B23A6C" w:rsidRPr="004126E5" w:rsidRDefault="00B23A6C" w:rsidP="00A51204">
      <w:pPr>
        <w:pStyle w:val="BodyText"/>
        <w:rPr>
          <w:rFonts w:cs="Calibri"/>
        </w:rPr>
      </w:pPr>
    </w:p>
    <w:p w14:paraId="0ABB2027" w14:textId="77777777" w:rsidR="00B23A6C" w:rsidRPr="004126E5" w:rsidRDefault="00B23A6C" w:rsidP="00A51204">
      <w:pPr>
        <w:pStyle w:val="BodyText"/>
        <w:rPr>
          <w:rFonts w:cs="Calibri"/>
        </w:rPr>
      </w:pPr>
      <w:r w:rsidRPr="004126E5">
        <w:rPr>
          <w:rFonts w:cs="Calibri"/>
        </w:rPr>
        <w:br w:type="page"/>
      </w:r>
    </w:p>
    <w:p w14:paraId="6614207D" w14:textId="1B8F7CEA" w:rsidR="005B25DB" w:rsidRDefault="00A51204" w:rsidP="00DF494E">
      <w:pPr>
        <w:pStyle w:val="BodyText"/>
        <w:jc w:val="center"/>
        <w:rPr>
          <w:b/>
          <w:bCs/>
          <w:sz w:val="24"/>
          <w:szCs w:val="24"/>
        </w:rPr>
      </w:pPr>
      <w:r w:rsidRPr="00DF494E">
        <w:rPr>
          <w:b/>
          <w:bCs/>
          <w:sz w:val="24"/>
          <w:szCs w:val="24"/>
        </w:rPr>
        <w:lastRenderedPageBreak/>
        <w:t>TABLE OF CONTENTS</w:t>
      </w:r>
    </w:p>
    <w:p w14:paraId="3DD7CF51" w14:textId="22125D4F" w:rsidR="00153DFE" w:rsidRDefault="00DF494E">
      <w:pPr>
        <w:pStyle w:val="TOC1"/>
        <w:rPr>
          <w:rFonts w:asciiTheme="minorHAnsi" w:hAnsiTheme="minorHAnsi"/>
          <w:noProof/>
          <w:kern w:val="2"/>
          <w:szCs w:val="22"/>
          <w14:ligatures w14:val="standardContextual"/>
        </w:rPr>
      </w:pPr>
      <w:r>
        <w:rPr>
          <w:b/>
          <w:bCs/>
          <w:sz w:val="24"/>
          <w:szCs w:val="24"/>
        </w:rPr>
        <w:fldChar w:fldCharType="begin"/>
      </w:r>
      <w:r>
        <w:rPr>
          <w:b/>
          <w:bCs/>
          <w:sz w:val="24"/>
          <w:szCs w:val="24"/>
        </w:rPr>
        <w:instrText xml:space="preserve"> TOC \h \z \t "Appendix,1,Level 1 Heading,1" </w:instrText>
      </w:r>
      <w:r>
        <w:rPr>
          <w:b/>
          <w:bCs/>
          <w:sz w:val="24"/>
          <w:szCs w:val="24"/>
        </w:rPr>
        <w:fldChar w:fldCharType="separate"/>
      </w:r>
      <w:hyperlink w:anchor="_Toc169612957" w:history="1">
        <w:r w:rsidR="00153DFE" w:rsidRPr="00864022">
          <w:rPr>
            <w:rStyle w:val="Hyperlink"/>
            <w:noProof/>
          </w:rPr>
          <w:t>I</w:t>
        </w:r>
        <w:r w:rsidR="00153DFE">
          <w:rPr>
            <w:rFonts w:asciiTheme="minorHAnsi" w:hAnsiTheme="minorHAnsi"/>
            <w:noProof/>
            <w:kern w:val="2"/>
            <w:szCs w:val="22"/>
            <w14:ligatures w14:val="standardContextual"/>
          </w:rPr>
          <w:tab/>
        </w:r>
        <w:r w:rsidR="00153DFE" w:rsidRPr="00864022">
          <w:rPr>
            <w:rStyle w:val="Hyperlink"/>
            <w:noProof/>
          </w:rPr>
          <w:t>EXECUTIVE SUMMARY</w:t>
        </w:r>
        <w:r w:rsidR="00153DFE">
          <w:rPr>
            <w:noProof/>
            <w:webHidden/>
          </w:rPr>
          <w:tab/>
        </w:r>
        <w:r w:rsidR="00153DFE">
          <w:rPr>
            <w:noProof/>
            <w:webHidden/>
          </w:rPr>
          <w:fldChar w:fldCharType="begin"/>
        </w:r>
        <w:r w:rsidR="00153DFE">
          <w:rPr>
            <w:noProof/>
            <w:webHidden/>
          </w:rPr>
          <w:instrText xml:space="preserve"> PAGEREF _Toc169612957 \h </w:instrText>
        </w:r>
        <w:r w:rsidR="00153DFE">
          <w:rPr>
            <w:noProof/>
            <w:webHidden/>
          </w:rPr>
        </w:r>
        <w:r w:rsidR="00153DFE">
          <w:rPr>
            <w:noProof/>
            <w:webHidden/>
          </w:rPr>
          <w:fldChar w:fldCharType="separate"/>
        </w:r>
        <w:r w:rsidR="009118FB">
          <w:rPr>
            <w:noProof/>
            <w:webHidden/>
          </w:rPr>
          <w:t>9</w:t>
        </w:r>
        <w:r w:rsidR="00153DFE">
          <w:rPr>
            <w:noProof/>
            <w:webHidden/>
          </w:rPr>
          <w:fldChar w:fldCharType="end"/>
        </w:r>
      </w:hyperlink>
    </w:p>
    <w:p w14:paraId="1B3920AF" w14:textId="49F5325D" w:rsidR="00153DFE" w:rsidRDefault="00153DFE">
      <w:pPr>
        <w:pStyle w:val="TOC1"/>
        <w:rPr>
          <w:rFonts w:asciiTheme="minorHAnsi" w:hAnsiTheme="minorHAnsi"/>
          <w:noProof/>
          <w:kern w:val="2"/>
          <w:szCs w:val="22"/>
          <w14:ligatures w14:val="standardContextual"/>
        </w:rPr>
      </w:pPr>
      <w:hyperlink w:anchor="_Toc169612958" w:history="1">
        <w:r w:rsidRPr="00864022">
          <w:rPr>
            <w:rStyle w:val="Hyperlink"/>
            <w:noProof/>
          </w:rPr>
          <w:t>II</w:t>
        </w:r>
        <w:r>
          <w:rPr>
            <w:rFonts w:asciiTheme="minorHAnsi" w:hAnsiTheme="minorHAnsi"/>
            <w:noProof/>
            <w:kern w:val="2"/>
            <w:szCs w:val="22"/>
            <w14:ligatures w14:val="standardContextual"/>
          </w:rPr>
          <w:tab/>
        </w:r>
        <w:r w:rsidRPr="00864022">
          <w:rPr>
            <w:rStyle w:val="Hyperlink"/>
            <w:noProof/>
          </w:rPr>
          <w:t>MANAGEMENT AND GOVERNANCE</w:t>
        </w:r>
        <w:r>
          <w:rPr>
            <w:noProof/>
            <w:webHidden/>
          </w:rPr>
          <w:tab/>
        </w:r>
        <w:r>
          <w:rPr>
            <w:noProof/>
            <w:webHidden/>
          </w:rPr>
          <w:fldChar w:fldCharType="begin"/>
        </w:r>
        <w:r>
          <w:rPr>
            <w:noProof/>
            <w:webHidden/>
          </w:rPr>
          <w:instrText xml:space="preserve"> PAGEREF _Toc169612958 \h </w:instrText>
        </w:r>
        <w:r>
          <w:rPr>
            <w:noProof/>
            <w:webHidden/>
          </w:rPr>
        </w:r>
        <w:r>
          <w:rPr>
            <w:noProof/>
            <w:webHidden/>
          </w:rPr>
          <w:fldChar w:fldCharType="separate"/>
        </w:r>
        <w:r w:rsidR="009118FB">
          <w:rPr>
            <w:noProof/>
            <w:webHidden/>
          </w:rPr>
          <w:t>11</w:t>
        </w:r>
        <w:r>
          <w:rPr>
            <w:noProof/>
            <w:webHidden/>
          </w:rPr>
          <w:fldChar w:fldCharType="end"/>
        </w:r>
      </w:hyperlink>
    </w:p>
    <w:p w14:paraId="79A78D46" w14:textId="53D64AC7" w:rsidR="00153DFE" w:rsidRDefault="00153DFE">
      <w:pPr>
        <w:pStyle w:val="TOC1"/>
        <w:rPr>
          <w:rFonts w:asciiTheme="minorHAnsi" w:hAnsiTheme="minorHAnsi"/>
          <w:noProof/>
          <w:kern w:val="2"/>
          <w:szCs w:val="22"/>
          <w14:ligatures w14:val="standardContextual"/>
        </w:rPr>
      </w:pPr>
      <w:hyperlink w:anchor="_Toc169612959" w:history="1">
        <w:r w:rsidRPr="00864022">
          <w:rPr>
            <w:rStyle w:val="Hyperlink"/>
            <w:noProof/>
          </w:rPr>
          <w:t>III</w:t>
        </w:r>
        <w:r>
          <w:rPr>
            <w:rFonts w:asciiTheme="minorHAnsi" w:hAnsiTheme="minorHAnsi"/>
            <w:noProof/>
            <w:kern w:val="2"/>
            <w:szCs w:val="22"/>
            <w14:ligatures w14:val="standardContextual"/>
          </w:rPr>
          <w:tab/>
        </w:r>
        <w:r w:rsidRPr="00864022">
          <w:rPr>
            <w:rStyle w:val="Hyperlink"/>
            <w:noProof/>
          </w:rPr>
          <w:t>THE INVESTMENT OPPORTUNITY</w:t>
        </w:r>
        <w:r>
          <w:rPr>
            <w:noProof/>
            <w:webHidden/>
          </w:rPr>
          <w:tab/>
        </w:r>
        <w:r>
          <w:rPr>
            <w:noProof/>
            <w:webHidden/>
          </w:rPr>
          <w:fldChar w:fldCharType="begin"/>
        </w:r>
        <w:r>
          <w:rPr>
            <w:noProof/>
            <w:webHidden/>
          </w:rPr>
          <w:instrText xml:space="preserve"> PAGEREF _Toc169612959 \h </w:instrText>
        </w:r>
        <w:r>
          <w:rPr>
            <w:noProof/>
            <w:webHidden/>
          </w:rPr>
        </w:r>
        <w:r>
          <w:rPr>
            <w:noProof/>
            <w:webHidden/>
          </w:rPr>
          <w:fldChar w:fldCharType="separate"/>
        </w:r>
        <w:r w:rsidR="009118FB">
          <w:rPr>
            <w:noProof/>
            <w:webHidden/>
          </w:rPr>
          <w:t>18</w:t>
        </w:r>
        <w:r>
          <w:rPr>
            <w:noProof/>
            <w:webHidden/>
          </w:rPr>
          <w:fldChar w:fldCharType="end"/>
        </w:r>
      </w:hyperlink>
    </w:p>
    <w:p w14:paraId="2BE39D02" w14:textId="0EDF6A4D" w:rsidR="00153DFE" w:rsidRDefault="00153DFE">
      <w:pPr>
        <w:pStyle w:val="TOC1"/>
        <w:rPr>
          <w:rFonts w:asciiTheme="minorHAnsi" w:hAnsiTheme="minorHAnsi"/>
          <w:noProof/>
          <w:kern w:val="2"/>
          <w:szCs w:val="22"/>
          <w14:ligatures w14:val="standardContextual"/>
        </w:rPr>
      </w:pPr>
      <w:hyperlink w:anchor="_Toc169612960" w:history="1">
        <w:r w:rsidRPr="00864022">
          <w:rPr>
            <w:rStyle w:val="Hyperlink"/>
            <w:noProof/>
          </w:rPr>
          <w:t>IV</w:t>
        </w:r>
        <w:r>
          <w:rPr>
            <w:rFonts w:asciiTheme="minorHAnsi" w:hAnsiTheme="minorHAnsi"/>
            <w:noProof/>
            <w:kern w:val="2"/>
            <w:szCs w:val="22"/>
            <w14:ligatures w14:val="standardContextual"/>
          </w:rPr>
          <w:tab/>
        </w:r>
        <w:r w:rsidRPr="00864022">
          <w:rPr>
            <w:rStyle w:val="Hyperlink"/>
            <w:noProof/>
          </w:rPr>
          <w:t>SUMMARY OF PRINCIPAL TERMS</w:t>
        </w:r>
        <w:r>
          <w:rPr>
            <w:noProof/>
            <w:webHidden/>
          </w:rPr>
          <w:tab/>
        </w:r>
        <w:r>
          <w:rPr>
            <w:noProof/>
            <w:webHidden/>
          </w:rPr>
          <w:fldChar w:fldCharType="begin"/>
        </w:r>
        <w:r>
          <w:rPr>
            <w:noProof/>
            <w:webHidden/>
          </w:rPr>
          <w:instrText xml:space="preserve"> PAGEREF _Toc169612960 \h </w:instrText>
        </w:r>
        <w:r>
          <w:rPr>
            <w:noProof/>
            <w:webHidden/>
          </w:rPr>
        </w:r>
        <w:r>
          <w:rPr>
            <w:noProof/>
            <w:webHidden/>
          </w:rPr>
          <w:fldChar w:fldCharType="separate"/>
        </w:r>
        <w:r w:rsidR="009118FB">
          <w:rPr>
            <w:noProof/>
            <w:webHidden/>
          </w:rPr>
          <w:t>19</w:t>
        </w:r>
        <w:r>
          <w:rPr>
            <w:noProof/>
            <w:webHidden/>
          </w:rPr>
          <w:fldChar w:fldCharType="end"/>
        </w:r>
      </w:hyperlink>
    </w:p>
    <w:p w14:paraId="560B22D4" w14:textId="40503454" w:rsidR="00153DFE" w:rsidRDefault="00153DFE">
      <w:pPr>
        <w:pStyle w:val="TOC1"/>
        <w:rPr>
          <w:rFonts w:asciiTheme="minorHAnsi" w:hAnsiTheme="minorHAnsi"/>
          <w:noProof/>
          <w:kern w:val="2"/>
          <w:szCs w:val="22"/>
          <w14:ligatures w14:val="standardContextual"/>
        </w:rPr>
      </w:pPr>
      <w:hyperlink w:anchor="_Toc169612961" w:history="1">
        <w:r w:rsidRPr="00864022">
          <w:rPr>
            <w:rStyle w:val="Hyperlink"/>
            <w:rFonts w:cs="Calibri"/>
            <w:noProof/>
          </w:rPr>
          <w:t>V</w:t>
        </w:r>
        <w:r>
          <w:rPr>
            <w:rFonts w:asciiTheme="minorHAnsi" w:hAnsiTheme="minorHAnsi"/>
            <w:noProof/>
            <w:kern w:val="2"/>
            <w:szCs w:val="22"/>
            <w14:ligatures w14:val="standardContextual"/>
          </w:rPr>
          <w:tab/>
        </w:r>
        <w:r w:rsidRPr="00864022">
          <w:rPr>
            <w:rStyle w:val="Hyperlink"/>
            <w:rFonts w:cs="Calibri"/>
            <w:noProof/>
          </w:rPr>
          <w:t>ARTICLES AND TOKENS</w:t>
        </w:r>
        <w:r>
          <w:rPr>
            <w:noProof/>
            <w:webHidden/>
          </w:rPr>
          <w:tab/>
        </w:r>
        <w:r>
          <w:rPr>
            <w:noProof/>
            <w:webHidden/>
          </w:rPr>
          <w:fldChar w:fldCharType="begin"/>
        </w:r>
        <w:r>
          <w:rPr>
            <w:noProof/>
            <w:webHidden/>
          </w:rPr>
          <w:instrText xml:space="preserve"> PAGEREF _Toc169612961 \h </w:instrText>
        </w:r>
        <w:r>
          <w:rPr>
            <w:noProof/>
            <w:webHidden/>
          </w:rPr>
        </w:r>
        <w:r>
          <w:rPr>
            <w:noProof/>
            <w:webHidden/>
          </w:rPr>
          <w:fldChar w:fldCharType="separate"/>
        </w:r>
        <w:r w:rsidR="009118FB">
          <w:rPr>
            <w:noProof/>
            <w:webHidden/>
          </w:rPr>
          <w:t>26</w:t>
        </w:r>
        <w:r>
          <w:rPr>
            <w:noProof/>
            <w:webHidden/>
          </w:rPr>
          <w:fldChar w:fldCharType="end"/>
        </w:r>
      </w:hyperlink>
    </w:p>
    <w:p w14:paraId="0443F556" w14:textId="3C8B6AC4" w:rsidR="00153DFE" w:rsidRDefault="00153DFE">
      <w:pPr>
        <w:pStyle w:val="TOC1"/>
        <w:rPr>
          <w:rFonts w:asciiTheme="minorHAnsi" w:hAnsiTheme="minorHAnsi"/>
          <w:noProof/>
          <w:kern w:val="2"/>
          <w:szCs w:val="22"/>
          <w14:ligatures w14:val="standardContextual"/>
        </w:rPr>
      </w:pPr>
      <w:hyperlink w:anchor="_Toc169612962" w:history="1">
        <w:r w:rsidRPr="00864022">
          <w:rPr>
            <w:rStyle w:val="Hyperlink"/>
            <w:noProof/>
          </w:rPr>
          <w:t>VI</w:t>
        </w:r>
        <w:r>
          <w:rPr>
            <w:rFonts w:asciiTheme="minorHAnsi" w:hAnsiTheme="minorHAnsi"/>
            <w:noProof/>
            <w:kern w:val="2"/>
            <w:szCs w:val="22"/>
            <w14:ligatures w14:val="standardContextual"/>
          </w:rPr>
          <w:tab/>
        </w:r>
        <w:r w:rsidRPr="00864022">
          <w:rPr>
            <w:rStyle w:val="Hyperlink"/>
            <w:noProof/>
          </w:rPr>
          <w:t>CERTAIN RISK FACTORS</w:t>
        </w:r>
        <w:r>
          <w:rPr>
            <w:noProof/>
            <w:webHidden/>
          </w:rPr>
          <w:tab/>
        </w:r>
        <w:r>
          <w:rPr>
            <w:noProof/>
            <w:webHidden/>
          </w:rPr>
          <w:fldChar w:fldCharType="begin"/>
        </w:r>
        <w:r>
          <w:rPr>
            <w:noProof/>
            <w:webHidden/>
          </w:rPr>
          <w:instrText xml:space="preserve"> PAGEREF _Toc169612962 \h </w:instrText>
        </w:r>
        <w:r>
          <w:rPr>
            <w:noProof/>
            <w:webHidden/>
          </w:rPr>
        </w:r>
        <w:r>
          <w:rPr>
            <w:noProof/>
            <w:webHidden/>
          </w:rPr>
          <w:fldChar w:fldCharType="separate"/>
        </w:r>
        <w:r w:rsidR="009118FB">
          <w:rPr>
            <w:noProof/>
            <w:webHidden/>
          </w:rPr>
          <w:t>31</w:t>
        </w:r>
        <w:r>
          <w:rPr>
            <w:noProof/>
            <w:webHidden/>
          </w:rPr>
          <w:fldChar w:fldCharType="end"/>
        </w:r>
      </w:hyperlink>
    </w:p>
    <w:p w14:paraId="3E27A14F" w14:textId="470CCF47" w:rsidR="00153DFE" w:rsidRDefault="00153DFE">
      <w:pPr>
        <w:pStyle w:val="TOC1"/>
        <w:rPr>
          <w:rFonts w:asciiTheme="minorHAnsi" w:hAnsiTheme="minorHAnsi"/>
          <w:noProof/>
          <w:kern w:val="2"/>
          <w:szCs w:val="22"/>
          <w14:ligatures w14:val="standardContextual"/>
        </w:rPr>
      </w:pPr>
      <w:hyperlink w:anchor="_Toc169612963" w:history="1">
        <w:r w:rsidRPr="00864022">
          <w:rPr>
            <w:rStyle w:val="Hyperlink"/>
            <w:noProof/>
          </w:rPr>
          <w:t>VII</w:t>
        </w:r>
        <w:r>
          <w:rPr>
            <w:rFonts w:asciiTheme="minorHAnsi" w:hAnsiTheme="minorHAnsi"/>
            <w:noProof/>
            <w:kern w:val="2"/>
            <w:szCs w:val="22"/>
            <w14:ligatures w14:val="standardContextual"/>
          </w:rPr>
          <w:tab/>
        </w:r>
        <w:r w:rsidRPr="00864022">
          <w:rPr>
            <w:rStyle w:val="Hyperlink"/>
            <w:noProof/>
          </w:rPr>
          <w:t>CONFLICTS OF INTEREST, CERTAIN LEGAL, TOKENISATION, TAX AND REGULATORY MATTERS</w:t>
        </w:r>
        <w:r>
          <w:rPr>
            <w:noProof/>
            <w:webHidden/>
          </w:rPr>
          <w:tab/>
        </w:r>
        <w:r>
          <w:rPr>
            <w:noProof/>
            <w:webHidden/>
          </w:rPr>
          <w:fldChar w:fldCharType="begin"/>
        </w:r>
        <w:r>
          <w:rPr>
            <w:noProof/>
            <w:webHidden/>
          </w:rPr>
          <w:instrText xml:space="preserve"> PAGEREF _Toc169612963 \h </w:instrText>
        </w:r>
        <w:r>
          <w:rPr>
            <w:noProof/>
            <w:webHidden/>
          </w:rPr>
        </w:r>
        <w:r>
          <w:rPr>
            <w:noProof/>
            <w:webHidden/>
          </w:rPr>
          <w:fldChar w:fldCharType="separate"/>
        </w:r>
        <w:r w:rsidR="009118FB">
          <w:rPr>
            <w:noProof/>
            <w:webHidden/>
          </w:rPr>
          <w:t>41</w:t>
        </w:r>
        <w:r>
          <w:rPr>
            <w:noProof/>
            <w:webHidden/>
          </w:rPr>
          <w:fldChar w:fldCharType="end"/>
        </w:r>
      </w:hyperlink>
    </w:p>
    <w:p w14:paraId="11642EF7" w14:textId="1C7F1B26" w:rsidR="00153DFE" w:rsidRDefault="00153DFE">
      <w:pPr>
        <w:pStyle w:val="TOC1"/>
        <w:rPr>
          <w:rFonts w:asciiTheme="minorHAnsi" w:hAnsiTheme="minorHAnsi"/>
          <w:noProof/>
          <w:kern w:val="2"/>
          <w:szCs w:val="22"/>
          <w14:ligatures w14:val="standardContextual"/>
        </w:rPr>
      </w:pPr>
      <w:hyperlink w:anchor="_Toc169612964" w:history="1">
        <w:r w:rsidRPr="00864022">
          <w:rPr>
            <w:rStyle w:val="Hyperlink"/>
            <w:rFonts w:cs="Calibri"/>
            <w:noProof/>
          </w:rPr>
          <w:t>Appendix A – Glossary</w:t>
        </w:r>
        <w:r>
          <w:rPr>
            <w:noProof/>
            <w:webHidden/>
          </w:rPr>
          <w:tab/>
        </w:r>
        <w:r>
          <w:rPr>
            <w:noProof/>
            <w:webHidden/>
          </w:rPr>
          <w:fldChar w:fldCharType="begin"/>
        </w:r>
        <w:r>
          <w:rPr>
            <w:noProof/>
            <w:webHidden/>
          </w:rPr>
          <w:instrText xml:space="preserve"> PAGEREF _Toc169612964 \h </w:instrText>
        </w:r>
        <w:r>
          <w:rPr>
            <w:noProof/>
            <w:webHidden/>
          </w:rPr>
        </w:r>
        <w:r>
          <w:rPr>
            <w:noProof/>
            <w:webHidden/>
          </w:rPr>
          <w:fldChar w:fldCharType="separate"/>
        </w:r>
        <w:r w:rsidR="009118FB">
          <w:rPr>
            <w:noProof/>
            <w:webHidden/>
          </w:rPr>
          <w:t>52</w:t>
        </w:r>
        <w:r>
          <w:rPr>
            <w:noProof/>
            <w:webHidden/>
          </w:rPr>
          <w:fldChar w:fldCharType="end"/>
        </w:r>
      </w:hyperlink>
    </w:p>
    <w:p w14:paraId="4B6A7659" w14:textId="0A202192" w:rsidR="00153DFE" w:rsidRDefault="00153DFE">
      <w:pPr>
        <w:pStyle w:val="TOC1"/>
        <w:rPr>
          <w:rFonts w:asciiTheme="minorHAnsi" w:hAnsiTheme="minorHAnsi"/>
          <w:noProof/>
          <w:kern w:val="2"/>
          <w:szCs w:val="22"/>
          <w14:ligatures w14:val="standardContextual"/>
        </w:rPr>
      </w:pPr>
      <w:hyperlink w:anchor="_Toc169612965" w:history="1">
        <w:r w:rsidRPr="00864022">
          <w:rPr>
            <w:rStyle w:val="Hyperlink"/>
            <w:rFonts w:cs="Calibri"/>
            <w:noProof/>
          </w:rPr>
          <w:t>Appendix B - Offering Restrictions in Certain Jurisdictions</w:t>
        </w:r>
        <w:r>
          <w:rPr>
            <w:noProof/>
            <w:webHidden/>
          </w:rPr>
          <w:tab/>
        </w:r>
        <w:r>
          <w:rPr>
            <w:noProof/>
            <w:webHidden/>
          </w:rPr>
          <w:fldChar w:fldCharType="begin"/>
        </w:r>
        <w:r>
          <w:rPr>
            <w:noProof/>
            <w:webHidden/>
          </w:rPr>
          <w:instrText xml:space="preserve"> PAGEREF _Toc169612965 \h </w:instrText>
        </w:r>
        <w:r>
          <w:rPr>
            <w:noProof/>
            <w:webHidden/>
          </w:rPr>
        </w:r>
        <w:r>
          <w:rPr>
            <w:noProof/>
            <w:webHidden/>
          </w:rPr>
          <w:fldChar w:fldCharType="separate"/>
        </w:r>
        <w:r w:rsidR="009118FB">
          <w:rPr>
            <w:noProof/>
            <w:webHidden/>
          </w:rPr>
          <w:t>55</w:t>
        </w:r>
        <w:r>
          <w:rPr>
            <w:noProof/>
            <w:webHidden/>
          </w:rPr>
          <w:fldChar w:fldCharType="end"/>
        </w:r>
      </w:hyperlink>
    </w:p>
    <w:p w14:paraId="435D271E" w14:textId="4E4B0C26" w:rsidR="00DF494E" w:rsidRDefault="00DF494E" w:rsidP="00DF494E">
      <w:pPr>
        <w:pStyle w:val="BodyText"/>
        <w:jc w:val="center"/>
        <w:rPr>
          <w:b/>
          <w:bCs/>
          <w:sz w:val="24"/>
          <w:szCs w:val="24"/>
        </w:rPr>
      </w:pPr>
      <w:r>
        <w:rPr>
          <w:b/>
          <w:bCs/>
          <w:sz w:val="24"/>
          <w:szCs w:val="24"/>
        </w:rPr>
        <w:fldChar w:fldCharType="end"/>
      </w:r>
    </w:p>
    <w:p w14:paraId="72B3ABDC" w14:textId="77777777" w:rsidR="00DF494E" w:rsidRDefault="00DF494E" w:rsidP="00DF494E">
      <w:pPr>
        <w:pStyle w:val="BodyText"/>
        <w:jc w:val="center"/>
        <w:rPr>
          <w:b/>
          <w:bCs/>
          <w:sz w:val="24"/>
          <w:szCs w:val="24"/>
        </w:rPr>
        <w:sectPr w:rsidR="00DF494E" w:rsidSect="0070389B">
          <w:headerReference w:type="default" r:id="rId15"/>
          <w:footerReference w:type="default" r:id="rId16"/>
          <w:pgSz w:w="11906" w:h="16838" w:code="9"/>
          <w:pgMar w:top="1134" w:right="1418" w:bottom="1134" w:left="1418" w:header="567" w:footer="425" w:gutter="0"/>
          <w:paperSrc w:first="7" w:other="7"/>
          <w:cols w:space="708"/>
          <w:docGrid w:linePitch="360"/>
        </w:sectPr>
      </w:pPr>
    </w:p>
    <w:p w14:paraId="56DFC576" w14:textId="7953DC21" w:rsidR="00B23A6C" w:rsidRPr="004126E5" w:rsidRDefault="00B23A6C" w:rsidP="00B21A61">
      <w:pPr>
        <w:pStyle w:val="Level1Heading"/>
      </w:pPr>
      <w:bookmarkStart w:id="0" w:name="_Toc169612957"/>
      <w:r w:rsidRPr="004126E5">
        <w:lastRenderedPageBreak/>
        <w:t>EXECUTIVE SUMMARY</w:t>
      </w:r>
      <w:bookmarkEnd w:id="0"/>
    </w:p>
    <w:p w14:paraId="63699CB9" w14:textId="77777777" w:rsidR="00B23A6C" w:rsidRPr="004126E5" w:rsidRDefault="00B23A6C" w:rsidP="00B23A6C">
      <w:pPr>
        <w:pStyle w:val="BodyText"/>
        <w:rPr>
          <w:rFonts w:cs="Calibri"/>
        </w:rPr>
      </w:pPr>
      <w:r w:rsidRPr="004126E5">
        <w:rPr>
          <w:rFonts w:cs="Calibri"/>
        </w:rPr>
        <w:t>This summary is qualified in its entirety by the more detailed information included, or referred to, in this Prospectus.</w:t>
      </w:r>
    </w:p>
    <w:p w14:paraId="6E10A357" w14:textId="053BDEE9" w:rsidR="00B23A6C" w:rsidRPr="004126E5" w:rsidRDefault="00B23A6C" w:rsidP="00B21A61">
      <w:pPr>
        <w:pStyle w:val="Level2Heading"/>
      </w:pPr>
      <w:r w:rsidRPr="004126E5">
        <w:t>Introduction</w:t>
      </w:r>
    </w:p>
    <w:p w14:paraId="309DB9FB" w14:textId="70F7D9E9" w:rsidR="00ED6730" w:rsidRPr="0037226D" w:rsidRDefault="0037226D" w:rsidP="007B6A5B">
      <w:pPr>
        <w:pStyle w:val="Level3Number"/>
        <w:rPr>
          <w:szCs w:val="22"/>
        </w:rPr>
      </w:pPr>
      <w:r>
        <w:t>Realise T-</w:t>
      </w:r>
      <w:r w:rsidR="006B5D96">
        <w:t>BILLS</w:t>
      </w:r>
      <w:r>
        <w:t xml:space="preserve"> Fund (OEIC) Limited</w:t>
      </w:r>
      <w:r w:rsidR="00B23A6C" w:rsidRPr="004126E5">
        <w:t xml:space="preserve"> is formed in the ADGM as a</w:t>
      </w:r>
      <w:r>
        <w:t>n open</w:t>
      </w:r>
      <w:r w:rsidR="00B23A6C" w:rsidRPr="004126E5">
        <w:t xml:space="preserve">-ended </w:t>
      </w:r>
      <w:r>
        <w:t>investment company</w:t>
      </w:r>
      <w:r w:rsidR="00B23A6C" w:rsidRPr="004126E5">
        <w:t xml:space="preserve"> and is a</w:t>
      </w:r>
      <w:r>
        <w:t xml:space="preserve"> Domestic Fund and an Exempt </w:t>
      </w:r>
      <w:r w:rsidR="00B23A6C" w:rsidRPr="0037226D">
        <w:t>Fund</w:t>
      </w:r>
      <w:r w:rsidR="00B23A6C" w:rsidRPr="004126E5">
        <w:t xml:space="preserve"> pursuant to ADGM Laws and FSRA Rules.  </w:t>
      </w:r>
    </w:p>
    <w:p w14:paraId="67599E3A" w14:textId="2C726849" w:rsidR="00ED6730" w:rsidRPr="00301F05" w:rsidRDefault="00683C9C" w:rsidP="007B6A5B">
      <w:pPr>
        <w:pStyle w:val="Level3Number"/>
        <w:rPr>
          <w:szCs w:val="22"/>
        </w:rPr>
      </w:pPr>
      <w:r w:rsidRPr="00E7425A">
        <w:rPr>
          <w:rFonts w:cs="Calibri"/>
        </w:rPr>
        <w:t xml:space="preserve">The Fund's investment strategy is restricted to investing in short term U.S. Treasury Notes identified by </w:t>
      </w:r>
      <w:r>
        <w:rPr>
          <w:rFonts w:cs="Calibri"/>
        </w:rPr>
        <w:t xml:space="preserve">the </w:t>
      </w:r>
      <w:r w:rsidRPr="00E7425A">
        <w:rPr>
          <w:rFonts w:cs="Calibri"/>
        </w:rPr>
        <w:t>Fund Manager</w:t>
      </w:r>
      <w:r>
        <w:rPr>
          <w:rFonts w:cs="Calibri"/>
        </w:rPr>
        <w:t xml:space="preserve">, directly or indirectly, through </w:t>
      </w:r>
      <w:r w:rsidRPr="00E7425A">
        <w:rPr>
          <w:rFonts w:cs="Calibri"/>
        </w:rPr>
        <w:t>Treasuries Exchange Traded Funds (</w:t>
      </w:r>
      <w:r w:rsidRPr="00E7425A">
        <w:rPr>
          <w:rFonts w:cs="Calibri"/>
          <w:b/>
          <w:bCs/>
        </w:rPr>
        <w:t>ETFs</w:t>
      </w:r>
      <w:r w:rsidRPr="00E7425A">
        <w:rPr>
          <w:rFonts w:cs="Calibri"/>
        </w:rPr>
        <w:t xml:space="preserve">) </w:t>
      </w:r>
      <w:r>
        <w:rPr>
          <w:rFonts w:cs="Calibri"/>
        </w:rPr>
        <w:t>or direct investment</w:t>
      </w:r>
      <w:r w:rsidR="0037226D" w:rsidRPr="00301F05">
        <w:rPr>
          <w:rFonts w:cs="Calibri"/>
          <w:szCs w:val="22"/>
          <w:lang w:val="en-US"/>
        </w:rPr>
        <w:t xml:space="preserve">. </w:t>
      </w:r>
    </w:p>
    <w:p w14:paraId="5226F073" w14:textId="5BC897E5" w:rsidR="00B23A6C" w:rsidRPr="00ED6730" w:rsidRDefault="00B23A6C" w:rsidP="007B6A5B">
      <w:pPr>
        <w:pStyle w:val="Level3Number"/>
      </w:pPr>
      <w:r w:rsidRPr="00301F05">
        <w:rPr>
          <w:szCs w:val="22"/>
        </w:rPr>
        <w:t xml:space="preserve">The Fund has appointed </w:t>
      </w:r>
      <w:proofErr w:type="spellStart"/>
      <w:r w:rsidR="00DF5C35">
        <w:rPr>
          <w:szCs w:val="22"/>
        </w:rPr>
        <w:t>Neov</w:t>
      </w:r>
      <w:r w:rsidR="0037226D" w:rsidRPr="00301F05">
        <w:rPr>
          <w:szCs w:val="22"/>
        </w:rPr>
        <w:t>ision</w:t>
      </w:r>
      <w:proofErr w:type="spellEnd"/>
      <w:r w:rsidR="0037226D" w:rsidRPr="00301F05">
        <w:rPr>
          <w:szCs w:val="22"/>
        </w:rPr>
        <w:t xml:space="preserve"> Wealth</w:t>
      </w:r>
      <w:r w:rsidRPr="00301F05">
        <w:rPr>
          <w:szCs w:val="22"/>
        </w:rPr>
        <w:t xml:space="preserve"> </w:t>
      </w:r>
      <w:r w:rsidR="0037226D" w:rsidRPr="00301F05">
        <w:rPr>
          <w:szCs w:val="22"/>
        </w:rPr>
        <w:t xml:space="preserve">Management Limited </w:t>
      </w:r>
      <w:r w:rsidRPr="00301F05">
        <w:rPr>
          <w:szCs w:val="22"/>
        </w:rPr>
        <w:t>as its fund manager (the “</w:t>
      </w:r>
      <w:r w:rsidRPr="00301F05">
        <w:rPr>
          <w:b/>
          <w:bCs/>
          <w:szCs w:val="22"/>
        </w:rPr>
        <w:t>Fund Manager</w:t>
      </w:r>
      <w:r w:rsidRPr="00301F05">
        <w:rPr>
          <w:szCs w:val="22"/>
        </w:rPr>
        <w:t>”). The Fund Manager</w:t>
      </w:r>
      <w:r w:rsidRPr="0037226D">
        <w:rPr>
          <w:szCs w:val="22"/>
        </w:rPr>
        <w:t xml:space="preserve"> is a private company</w:t>
      </w:r>
      <w:r w:rsidRPr="00ED6730">
        <w:t xml:space="preserve"> limited by shares incorporated in the ADGM and licensed by the FSRA to carry on the financial service of, inter alia, Managing a Collective Investment Fund (as defined in the FSRA Rules).</w:t>
      </w:r>
    </w:p>
    <w:p w14:paraId="1ADFBC89" w14:textId="3116AF02" w:rsidR="00B23A6C" w:rsidRPr="004126E5" w:rsidRDefault="00B23A6C" w:rsidP="00B21A61">
      <w:pPr>
        <w:pStyle w:val="Level2Heading"/>
      </w:pPr>
      <w:r w:rsidRPr="00ED6730">
        <w:rPr>
          <w:rFonts w:cs="Calibri"/>
          <w:szCs w:val="22"/>
        </w:rPr>
        <w:t>Summary</w:t>
      </w:r>
      <w:r w:rsidRPr="004126E5">
        <w:t xml:space="preserve"> of Principal Terms</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953"/>
      </w:tblGrid>
      <w:tr w:rsidR="00A51204" w:rsidRPr="004126E5" w14:paraId="324A37BD" w14:textId="77777777" w:rsidTr="00ED6730">
        <w:tc>
          <w:tcPr>
            <w:tcW w:w="2410" w:type="dxa"/>
          </w:tcPr>
          <w:p w14:paraId="484BAAC4" w14:textId="77777777" w:rsidR="00A51204" w:rsidRPr="004126E5" w:rsidRDefault="00A51204" w:rsidP="00F45602">
            <w:pPr>
              <w:pStyle w:val="BodyText"/>
              <w:rPr>
                <w:rFonts w:cs="Calibri"/>
                <w:b/>
                <w:bCs/>
              </w:rPr>
            </w:pPr>
            <w:r w:rsidRPr="004126E5">
              <w:rPr>
                <w:rFonts w:cs="Calibri"/>
                <w:b/>
                <w:bCs/>
              </w:rPr>
              <w:t>Fund</w:t>
            </w:r>
          </w:p>
        </w:tc>
        <w:tc>
          <w:tcPr>
            <w:tcW w:w="5953" w:type="dxa"/>
          </w:tcPr>
          <w:p w14:paraId="19E2F127" w14:textId="2A44BED8" w:rsidR="00A51204" w:rsidRPr="004126E5" w:rsidRDefault="0037226D" w:rsidP="00F45602">
            <w:pPr>
              <w:pStyle w:val="BodyText"/>
              <w:rPr>
                <w:rFonts w:cs="Calibri"/>
              </w:rPr>
            </w:pPr>
            <w:r>
              <w:t>Realise T-</w:t>
            </w:r>
            <w:r w:rsidR="006B5D96">
              <w:t>BILLS</w:t>
            </w:r>
            <w:r>
              <w:t xml:space="preserve"> Fund (OEIC) Limited</w:t>
            </w:r>
          </w:p>
        </w:tc>
      </w:tr>
      <w:tr w:rsidR="00A51204" w:rsidRPr="004126E5" w14:paraId="2415CE8A" w14:textId="77777777" w:rsidTr="00ED6730">
        <w:tc>
          <w:tcPr>
            <w:tcW w:w="2410" w:type="dxa"/>
          </w:tcPr>
          <w:p w14:paraId="45887107" w14:textId="77777777" w:rsidR="00A51204" w:rsidRPr="004126E5" w:rsidRDefault="00A51204" w:rsidP="00F45602">
            <w:pPr>
              <w:pStyle w:val="BodyText"/>
              <w:rPr>
                <w:rFonts w:cs="Calibri"/>
                <w:b/>
                <w:bCs/>
              </w:rPr>
            </w:pPr>
            <w:r w:rsidRPr="004126E5">
              <w:rPr>
                <w:rFonts w:cs="Calibri"/>
                <w:b/>
                <w:bCs/>
              </w:rPr>
              <w:t>Fund Domicile</w:t>
            </w:r>
          </w:p>
        </w:tc>
        <w:tc>
          <w:tcPr>
            <w:tcW w:w="5953" w:type="dxa"/>
          </w:tcPr>
          <w:p w14:paraId="1E65024C" w14:textId="1CE12BEF" w:rsidR="00A51204" w:rsidRPr="004126E5" w:rsidRDefault="00A51204" w:rsidP="00F45602">
            <w:pPr>
              <w:pStyle w:val="BodyText"/>
              <w:rPr>
                <w:rFonts w:cs="Calibri"/>
              </w:rPr>
            </w:pPr>
            <w:r w:rsidRPr="004126E5">
              <w:rPr>
                <w:rFonts w:cs="Calibri"/>
              </w:rPr>
              <w:t>Abu Dhabi Global Market</w:t>
            </w:r>
          </w:p>
        </w:tc>
      </w:tr>
      <w:tr w:rsidR="00A51204" w:rsidRPr="004126E5" w14:paraId="348B9919" w14:textId="77777777" w:rsidTr="00ED6730">
        <w:tc>
          <w:tcPr>
            <w:tcW w:w="2410" w:type="dxa"/>
          </w:tcPr>
          <w:p w14:paraId="473E0FDB" w14:textId="77777777" w:rsidR="00A51204" w:rsidRPr="004126E5" w:rsidRDefault="00A51204" w:rsidP="00F45602">
            <w:pPr>
              <w:pStyle w:val="BodyText"/>
              <w:rPr>
                <w:rFonts w:cs="Calibri"/>
                <w:b/>
                <w:bCs/>
              </w:rPr>
            </w:pPr>
            <w:r w:rsidRPr="004126E5">
              <w:rPr>
                <w:rFonts w:cs="Calibri"/>
                <w:b/>
                <w:bCs/>
              </w:rPr>
              <w:t>Fund Manager</w:t>
            </w:r>
          </w:p>
        </w:tc>
        <w:tc>
          <w:tcPr>
            <w:tcW w:w="5953" w:type="dxa"/>
          </w:tcPr>
          <w:p w14:paraId="32F322D2" w14:textId="4DFC2206" w:rsidR="00A51204" w:rsidRPr="004126E5" w:rsidRDefault="00DF5C35" w:rsidP="00F45602">
            <w:pPr>
              <w:pStyle w:val="BodyText"/>
              <w:rPr>
                <w:rFonts w:cs="Calibri"/>
              </w:rPr>
            </w:pPr>
            <w:proofErr w:type="spellStart"/>
            <w:r>
              <w:rPr>
                <w:szCs w:val="22"/>
              </w:rPr>
              <w:t>Neov</w:t>
            </w:r>
            <w:r w:rsidR="0037226D">
              <w:rPr>
                <w:szCs w:val="22"/>
              </w:rPr>
              <w:t>ision</w:t>
            </w:r>
            <w:proofErr w:type="spellEnd"/>
            <w:r w:rsidR="0037226D">
              <w:rPr>
                <w:szCs w:val="22"/>
              </w:rPr>
              <w:t xml:space="preserve"> Wealth</w:t>
            </w:r>
            <w:r w:rsidR="0037226D" w:rsidRPr="0037226D">
              <w:rPr>
                <w:szCs w:val="22"/>
              </w:rPr>
              <w:t xml:space="preserve"> </w:t>
            </w:r>
            <w:r w:rsidR="0037226D">
              <w:rPr>
                <w:szCs w:val="22"/>
              </w:rPr>
              <w:t>Management Limited</w:t>
            </w:r>
          </w:p>
        </w:tc>
      </w:tr>
      <w:tr w:rsidR="00A51204" w:rsidRPr="004126E5" w14:paraId="63E0003C" w14:textId="77777777" w:rsidTr="00ED6730">
        <w:tc>
          <w:tcPr>
            <w:tcW w:w="2410" w:type="dxa"/>
          </w:tcPr>
          <w:p w14:paraId="51A76CEA" w14:textId="77777777" w:rsidR="00A51204" w:rsidRPr="004126E5" w:rsidRDefault="00A51204" w:rsidP="00F45602">
            <w:pPr>
              <w:pStyle w:val="BodyText"/>
              <w:rPr>
                <w:rFonts w:cs="Calibri"/>
                <w:b/>
                <w:bCs/>
              </w:rPr>
            </w:pPr>
            <w:r w:rsidRPr="004126E5">
              <w:rPr>
                <w:rFonts w:cs="Calibri"/>
                <w:b/>
                <w:bCs/>
              </w:rPr>
              <w:t>Investment Objective</w:t>
            </w:r>
          </w:p>
        </w:tc>
        <w:tc>
          <w:tcPr>
            <w:tcW w:w="5953" w:type="dxa"/>
          </w:tcPr>
          <w:p w14:paraId="1F0A2952" w14:textId="36E05B8E" w:rsidR="00A51204" w:rsidRPr="004126E5" w:rsidRDefault="0037226D" w:rsidP="00F45602">
            <w:pPr>
              <w:pStyle w:val="BodyText"/>
              <w:rPr>
                <w:rFonts w:cs="Calibri"/>
              </w:rPr>
            </w:pPr>
            <w:r>
              <w:rPr>
                <w:rFonts w:cs="Calibri"/>
                <w:szCs w:val="22"/>
                <w:lang w:val="en-US"/>
              </w:rPr>
              <w:t>I</w:t>
            </w:r>
            <w:r w:rsidRPr="0037226D">
              <w:rPr>
                <w:rFonts w:cs="Calibri"/>
                <w:szCs w:val="22"/>
                <w:lang w:val="en-US"/>
              </w:rPr>
              <w:t>nvest exclusively in U.S. Treasury Notes</w:t>
            </w:r>
            <w:r w:rsidR="00EC4980">
              <w:rPr>
                <w:rFonts w:cs="Calibri"/>
                <w:szCs w:val="22"/>
                <w:lang w:val="en-US"/>
              </w:rPr>
              <w:t xml:space="preserve">, directly and indirectly through </w:t>
            </w:r>
            <w:r w:rsidR="00EC4980" w:rsidRPr="0037226D">
              <w:rPr>
                <w:rFonts w:cs="Calibri"/>
                <w:szCs w:val="22"/>
                <w:lang w:val="en-US"/>
              </w:rPr>
              <w:t>Treasuries Exchange Traded Funds investing primarily</w:t>
            </w:r>
          </w:p>
        </w:tc>
      </w:tr>
      <w:tr w:rsidR="00A51204" w:rsidRPr="004126E5" w14:paraId="079B180A" w14:textId="77777777" w:rsidTr="00ED6730">
        <w:tc>
          <w:tcPr>
            <w:tcW w:w="2410" w:type="dxa"/>
          </w:tcPr>
          <w:p w14:paraId="2375E8A6" w14:textId="77777777" w:rsidR="00A51204" w:rsidRPr="004126E5" w:rsidRDefault="00A51204" w:rsidP="00F45602">
            <w:pPr>
              <w:pStyle w:val="BodyText"/>
              <w:rPr>
                <w:rFonts w:cs="Calibri"/>
                <w:b/>
                <w:bCs/>
              </w:rPr>
            </w:pPr>
            <w:r w:rsidRPr="004126E5">
              <w:rPr>
                <w:rFonts w:cs="Calibri"/>
                <w:b/>
                <w:bCs/>
              </w:rPr>
              <w:t>Fund Term</w:t>
            </w:r>
          </w:p>
        </w:tc>
        <w:tc>
          <w:tcPr>
            <w:tcW w:w="5953" w:type="dxa"/>
          </w:tcPr>
          <w:p w14:paraId="7D6ADC87" w14:textId="655330A6" w:rsidR="00A51204" w:rsidRPr="004126E5" w:rsidRDefault="0037226D" w:rsidP="00F45602">
            <w:pPr>
              <w:pStyle w:val="BodyText"/>
              <w:rPr>
                <w:rFonts w:cs="Calibri"/>
              </w:rPr>
            </w:pPr>
            <w:r>
              <w:rPr>
                <w:rFonts w:cs="Calibri"/>
              </w:rPr>
              <w:t>Indefinite</w:t>
            </w:r>
          </w:p>
        </w:tc>
      </w:tr>
      <w:tr w:rsidR="00A51204" w:rsidRPr="004126E5" w14:paraId="55A45208" w14:textId="77777777" w:rsidTr="00ED6730">
        <w:tc>
          <w:tcPr>
            <w:tcW w:w="2410" w:type="dxa"/>
          </w:tcPr>
          <w:p w14:paraId="36AF51A5" w14:textId="77777777" w:rsidR="00A51204" w:rsidRPr="004126E5" w:rsidRDefault="00A51204" w:rsidP="00F45602">
            <w:pPr>
              <w:pStyle w:val="BodyText"/>
              <w:rPr>
                <w:rFonts w:cs="Calibri"/>
                <w:b/>
                <w:bCs/>
              </w:rPr>
            </w:pPr>
            <w:r w:rsidRPr="004126E5">
              <w:rPr>
                <w:rFonts w:cs="Calibri"/>
                <w:b/>
                <w:bCs/>
              </w:rPr>
              <w:t>Minimum Subscription</w:t>
            </w:r>
          </w:p>
        </w:tc>
        <w:tc>
          <w:tcPr>
            <w:tcW w:w="5953" w:type="dxa"/>
          </w:tcPr>
          <w:p w14:paraId="7EDBE9C6" w14:textId="438C0CC5" w:rsidR="00A51204" w:rsidRPr="004126E5" w:rsidRDefault="00A51204" w:rsidP="00F45602">
            <w:pPr>
              <w:pStyle w:val="BodyText"/>
              <w:rPr>
                <w:rFonts w:cs="Calibri"/>
              </w:rPr>
            </w:pPr>
            <w:r w:rsidRPr="004126E5">
              <w:rPr>
                <w:rFonts w:cs="Calibri"/>
              </w:rPr>
              <w:t>US$</w:t>
            </w:r>
            <w:r w:rsidR="0037226D">
              <w:rPr>
                <w:rFonts w:cs="Calibri"/>
              </w:rPr>
              <w:t>5</w:t>
            </w:r>
            <w:r w:rsidRPr="004126E5">
              <w:rPr>
                <w:rFonts w:cs="Calibri"/>
              </w:rPr>
              <w:t>0,000</w:t>
            </w:r>
          </w:p>
        </w:tc>
      </w:tr>
      <w:tr w:rsidR="00A51204" w:rsidRPr="004126E5" w14:paraId="3E269DC8" w14:textId="77777777" w:rsidTr="00ED6730">
        <w:tc>
          <w:tcPr>
            <w:tcW w:w="2410" w:type="dxa"/>
          </w:tcPr>
          <w:p w14:paraId="18452E6E" w14:textId="77777777" w:rsidR="00A51204" w:rsidRPr="004126E5" w:rsidRDefault="00A51204" w:rsidP="00F45602">
            <w:pPr>
              <w:pStyle w:val="BodyText"/>
              <w:rPr>
                <w:rFonts w:cs="Calibri"/>
                <w:b/>
                <w:bCs/>
              </w:rPr>
            </w:pPr>
            <w:r w:rsidRPr="004126E5">
              <w:rPr>
                <w:rFonts w:cs="Calibri"/>
                <w:b/>
                <w:bCs/>
              </w:rPr>
              <w:t>Management Fee</w:t>
            </w:r>
          </w:p>
        </w:tc>
        <w:tc>
          <w:tcPr>
            <w:tcW w:w="5953" w:type="dxa"/>
          </w:tcPr>
          <w:p w14:paraId="3112ED4E" w14:textId="032D8CA7" w:rsidR="00A51204" w:rsidRPr="004126E5" w:rsidRDefault="00372BF1" w:rsidP="00F45602">
            <w:pPr>
              <w:pStyle w:val="BodyText"/>
              <w:rPr>
                <w:rFonts w:cs="Calibri"/>
              </w:rPr>
            </w:pPr>
            <w:r>
              <w:rPr>
                <w:rFonts w:cs="Calibri"/>
                <w:color w:val="000000"/>
                <w:szCs w:val="22"/>
              </w:rPr>
              <w:t>0%</w:t>
            </w:r>
          </w:p>
        </w:tc>
      </w:tr>
      <w:tr w:rsidR="0037226D" w:rsidRPr="004126E5" w14:paraId="5B4BE2A9" w14:textId="77777777" w:rsidTr="001C064D">
        <w:tc>
          <w:tcPr>
            <w:tcW w:w="2410" w:type="dxa"/>
          </w:tcPr>
          <w:p w14:paraId="418238D0" w14:textId="77777777" w:rsidR="0037226D" w:rsidRPr="004126E5" w:rsidRDefault="0037226D" w:rsidP="001C064D">
            <w:pPr>
              <w:pStyle w:val="BodyText"/>
              <w:rPr>
                <w:rFonts w:cs="Calibri"/>
                <w:b/>
                <w:bCs/>
              </w:rPr>
            </w:pPr>
            <w:r>
              <w:rPr>
                <w:rFonts w:cs="Calibri"/>
                <w:b/>
                <w:bCs/>
              </w:rPr>
              <w:t>Performance Fee</w:t>
            </w:r>
          </w:p>
        </w:tc>
        <w:tc>
          <w:tcPr>
            <w:tcW w:w="5953" w:type="dxa"/>
          </w:tcPr>
          <w:p w14:paraId="3BCA4F2A" w14:textId="10240E0D" w:rsidR="0037226D" w:rsidRPr="004126E5" w:rsidRDefault="0037226D" w:rsidP="001C064D">
            <w:pPr>
              <w:pStyle w:val="BodyText"/>
              <w:rPr>
                <w:rFonts w:cs="Calibri"/>
              </w:rPr>
            </w:pPr>
            <w:r>
              <w:rPr>
                <w:rFonts w:cs="Calibri"/>
              </w:rPr>
              <w:t>0</w:t>
            </w:r>
            <w:r w:rsidRPr="004126E5">
              <w:rPr>
                <w:rFonts w:cs="Calibri"/>
              </w:rPr>
              <w:t>%</w:t>
            </w:r>
          </w:p>
        </w:tc>
      </w:tr>
      <w:tr w:rsidR="00301F05" w:rsidRPr="004126E5" w14:paraId="2EE68459" w14:textId="77777777" w:rsidTr="00F86DE2">
        <w:tc>
          <w:tcPr>
            <w:tcW w:w="2410" w:type="dxa"/>
          </w:tcPr>
          <w:p w14:paraId="5587B24C" w14:textId="77777777" w:rsidR="00301F05" w:rsidRPr="004126E5" w:rsidRDefault="00301F05" w:rsidP="00F86DE2">
            <w:pPr>
              <w:pStyle w:val="BodyText"/>
              <w:rPr>
                <w:rFonts w:cs="Calibri"/>
                <w:b/>
                <w:bCs/>
              </w:rPr>
            </w:pPr>
            <w:r>
              <w:rPr>
                <w:rFonts w:cs="Calibri"/>
                <w:b/>
                <w:bCs/>
              </w:rPr>
              <w:t>Subscription Fee</w:t>
            </w:r>
          </w:p>
        </w:tc>
        <w:tc>
          <w:tcPr>
            <w:tcW w:w="5953" w:type="dxa"/>
          </w:tcPr>
          <w:p w14:paraId="51CFE08E" w14:textId="77777777" w:rsidR="00301F05" w:rsidRPr="004126E5" w:rsidRDefault="00301F05" w:rsidP="00F86DE2">
            <w:pPr>
              <w:pStyle w:val="BodyText"/>
              <w:rPr>
                <w:rFonts w:cs="Calibri"/>
              </w:rPr>
            </w:pPr>
            <w:r>
              <w:rPr>
                <w:rFonts w:cs="Calibri"/>
              </w:rPr>
              <w:t>US$0</w:t>
            </w:r>
          </w:p>
        </w:tc>
      </w:tr>
      <w:tr w:rsidR="00A51204" w:rsidRPr="004126E5" w14:paraId="690A04E1" w14:textId="77777777" w:rsidTr="00ED6730">
        <w:tc>
          <w:tcPr>
            <w:tcW w:w="2410" w:type="dxa"/>
          </w:tcPr>
          <w:p w14:paraId="6A7FD054" w14:textId="6867C642" w:rsidR="00A51204" w:rsidRPr="004126E5" w:rsidRDefault="00301F05" w:rsidP="00F45602">
            <w:pPr>
              <w:pStyle w:val="BodyText"/>
              <w:rPr>
                <w:rFonts w:cs="Calibri"/>
                <w:b/>
                <w:bCs/>
              </w:rPr>
            </w:pPr>
            <w:r>
              <w:rPr>
                <w:rFonts w:cs="Calibri"/>
                <w:b/>
                <w:bCs/>
              </w:rPr>
              <w:t>Redemption</w:t>
            </w:r>
            <w:r w:rsidR="0037226D">
              <w:rPr>
                <w:rFonts w:cs="Calibri"/>
                <w:b/>
                <w:bCs/>
              </w:rPr>
              <w:t xml:space="preserve"> Fee</w:t>
            </w:r>
          </w:p>
        </w:tc>
        <w:tc>
          <w:tcPr>
            <w:tcW w:w="5953" w:type="dxa"/>
          </w:tcPr>
          <w:p w14:paraId="44681C14" w14:textId="42AEF81F" w:rsidR="00A51204" w:rsidRPr="004126E5" w:rsidRDefault="00301F05" w:rsidP="00F45602">
            <w:pPr>
              <w:pStyle w:val="BodyText"/>
              <w:rPr>
                <w:rFonts w:cs="Calibri"/>
              </w:rPr>
            </w:pPr>
            <w:r>
              <w:rPr>
                <w:rFonts w:cs="Calibri"/>
              </w:rPr>
              <w:t>US$750</w:t>
            </w:r>
          </w:p>
        </w:tc>
      </w:tr>
      <w:tr w:rsidR="00B2778D" w:rsidRPr="004126E5" w14:paraId="71E546E5" w14:textId="77777777" w:rsidTr="00ED6730">
        <w:tc>
          <w:tcPr>
            <w:tcW w:w="2410" w:type="dxa"/>
          </w:tcPr>
          <w:p w14:paraId="5A9E994C" w14:textId="2C3F889A" w:rsidR="00B2778D" w:rsidRPr="004126E5" w:rsidRDefault="00492A29" w:rsidP="00B2778D">
            <w:pPr>
              <w:pStyle w:val="BodyText"/>
              <w:rPr>
                <w:rFonts w:cs="Calibri"/>
                <w:b/>
                <w:bCs/>
              </w:rPr>
            </w:pPr>
            <w:r>
              <w:rPr>
                <w:rFonts w:cs="Calibri"/>
                <w:b/>
                <w:bCs/>
              </w:rPr>
              <w:t>Technical Services</w:t>
            </w:r>
            <w:r w:rsidR="00B2778D">
              <w:rPr>
                <w:rFonts w:cs="Calibri"/>
                <w:b/>
                <w:bCs/>
              </w:rPr>
              <w:t xml:space="preserve"> Fee</w:t>
            </w:r>
          </w:p>
        </w:tc>
        <w:tc>
          <w:tcPr>
            <w:tcW w:w="5953" w:type="dxa"/>
          </w:tcPr>
          <w:p w14:paraId="116BDC0B" w14:textId="2714BA42" w:rsidR="00B2778D" w:rsidRPr="004126E5" w:rsidRDefault="00AB779F" w:rsidP="00B2778D">
            <w:pPr>
              <w:pStyle w:val="BodyText"/>
              <w:rPr>
                <w:rFonts w:cs="Calibri"/>
              </w:rPr>
            </w:pPr>
            <w:r w:rsidRPr="00713F5D">
              <w:rPr>
                <w:rFonts w:cs="Calibri"/>
                <w:color w:val="000000"/>
                <w:szCs w:val="22"/>
              </w:rPr>
              <w:t xml:space="preserve">0%, until the AUM of the Fund </w:t>
            </w:r>
            <w:r w:rsidRPr="0035108B">
              <w:rPr>
                <w:rFonts w:cs="Calibri"/>
                <w:color w:val="000000"/>
                <w:szCs w:val="22"/>
              </w:rPr>
              <w:t>reaches US$</w:t>
            </w:r>
            <w:r w:rsidRPr="00AB779F">
              <w:rPr>
                <w:rFonts w:cs="Calibri"/>
                <w:color w:val="000000"/>
                <w:szCs w:val="22"/>
              </w:rPr>
              <w:t>100,000,000</w:t>
            </w:r>
            <w:r w:rsidRPr="0035108B">
              <w:rPr>
                <w:rFonts w:cs="Calibri"/>
                <w:color w:val="000000"/>
                <w:szCs w:val="22"/>
              </w:rPr>
              <w:t xml:space="preserve"> when the Fund Manager shall </w:t>
            </w:r>
            <w:r>
              <w:rPr>
                <w:rFonts w:cs="Calibri"/>
                <w:color w:val="000000"/>
                <w:szCs w:val="22"/>
              </w:rPr>
              <w:t>have the option</w:t>
            </w:r>
            <w:r w:rsidRPr="0035108B">
              <w:rPr>
                <w:rFonts w:cs="Calibri"/>
                <w:color w:val="000000"/>
                <w:szCs w:val="22"/>
              </w:rPr>
              <w:t xml:space="preserve"> to charge a technical services and </w:t>
            </w:r>
            <w:r w:rsidR="00492A29">
              <w:rPr>
                <w:rFonts w:cs="Calibri"/>
                <w:color w:val="000000"/>
                <w:szCs w:val="22"/>
              </w:rPr>
              <w:t>technical services</w:t>
            </w:r>
            <w:r w:rsidRPr="0035108B">
              <w:rPr>
                <w:rFonts w:cs="Calibri"/>
                <w:color w:val="000000"/>
                <w:szCs w:val="22"/>
              </w:rPr>
              <w:t xml:space="preserve"> fee of </w:t>
            </w:r>
            <w:r w:rsidRPr="00AB779F">
              <w:rPr>
                <w:rFonts w:cs="Calibri"/>
                <w:color w:val="000000"/>
                <w:szCs w:val="22"/>
              </w:rPr>
              <w:t>0.1</w:t>
            </w:r>
            <w:r w:rsidRPr="0035108B">
              <w:rPr>
                <w:rFonts w:cs="Calibri"/>
                <w:color w:val="000000"/>
                <w:szCs w:val="22"/>
              </w:rPr>
              <w:t>%</w:t>
            </w:r>
            <w:r w:rsidR="00492A29">
              <w:rPr>
                <w:rFonts w:cs="Calibri"/>
                <w:color w:val="000000"/>
                <w:szCs w:val="22"/>
              </w:rPr>
              <w:t xml:space="preserve"> of the Net Asset Value of the Fund (before deduction of any Technical Services Fee)</w:t>
            </w:r>
            <w:r w:rsidR="00492A29" w:rsidRPr="0035108B">
              <w:rPr>
                <w:rFonts w:cs="Calibri"/>
                <w:color w:val="000000"/>
                <w:szCs w:val="22"/>
              </w:rPr>
              <w:t xml:space="preserve">, </w:t>
            </w:r>
            <w:r w:rsidR="00492A29">
              <w:rPr>
                <w:rFonts w:cs="Calibri"/>
                <w:color w:val="000000"/>
                <w:szCs w:val="22"/>
              </w:rPr>
              <w:t xml:space="preserve">calculated daily and </w:t>
            </w:r>
            <w:r w:rsidR="00492A29" w:rsidRPr="0035108B">
              <w:rPr>
                <w:rFonts w:cs="Calibri"/>
                <w:color w:val="000000"/>
                <w:szCs w:val="22"/>
              </w:rPr>
              <w:t>payable</w:t>
            </w:r>
            <w:r w:rsidR="00492A29" w:rsidRPr="00713F5D">
              <w:rPr>
                <w:rFonts w:cs="Calibri"/>
                <w:color w:val="000000"/>
                <w:szCs w:val="22"/>
              </w:rPr>
              <w:t xml:space="preserve"> </w:t>
            </w:r>
            <w:r w:rsidR="00492A29">
              <w:rPr>
                <w:rFonts w:cs="Calibri"/>
                <w:color w:val="000000"/>
                <w:szCs w:val="22"/>
              </w:rPr>
              <w:t>quarterly</w:t>
            </w:r>
            <w:r w:rsidR="00492A29" w:rsidRPr="00713F5D">
              <w:rPr>
                <w:rFonts w:cs="Calibri"/>
                <w:color w:val="000000"/>
                <w:szCs w:val="22"/>
              </w:rPr>
              <w:t xml:space="preserve"> in arrears</w:t>
            </w:r>
            <w:r w:rsidR="00492A29">
              <w:rPr>
                <w:rFonts w:cs="Calibri"/>
                <w:color w:val="000000"/>
                <w:szCs w:val="22"/>
              </w:rPr>
              <w:t xml:space="preserve"> as soon as practicable.</w:t>
            </w:r>
          </w:p>
        </w:tc>
      </w:tr>
      <w:tr w:rsidR="00A51204" w:rsidRPr="004126E5" w14:paraId="1A89E981" w14:textId="77777777" w:rsidTr="00ED6730">
        <w:tc>
          <w:tcPr>
            <w:tcW w:w="2410" w:type="dxa"/>
          </w:tcPr>
          <w:p w14:paraId="331421D1" w14:textId="77777777" w:rsidR="00A51204" w:rsidRPr="004126E5" w:rsidRDefault="00A51204" w:rsidP="00F45602">
            <w:pPr>
              <w:pStyle w:val="BodyText"/>
              <w:rPr>
                <w:rFonts w:cs="Calibri"/>
                <w:b/>
                <w:bCs/>
              </w:rPr>
            </w:pPr>
            <w:r w:rsidRPr="004126E5">
              <w:rPr>
                <w:rFonts w:cs="Calibri"/>
                <w:b/>
                <w:bCs/>
              </w:rPr>
              <w:t>Administrator</w:t>
            </w:r>
          </w:p>
        </w:tc>
        <w:tc>
          <w:tcPr>
            <w:tcW w:w="5953" w:type="dxa"/>
          </w:tcPr>
          <w:p w14:paraId="26620C98" w14:textId="06D65998" w:rsidR="00A51204" w:rsidRPr="004126E5" w:rsidRDefault="001735DD" w:rsidP="00F45602">
            <w:pPr>
              <w:pStyle w:val="BodyText"/>
              <w:rPr>
                <w:rFonts w:cs="Calibri"/>
              </w:rPr>
            </w:pPr>
            <w:r>
              <w:rPr>
                <w:rFonts w:cs="Calibri"/>
              </w:rPr>
              <w:t>Ascent Fund Services Ltd.</w:t>
            </w:r>
          </w:p>
        </w:tc>
      </w:tr>
      <w:tr w:rsidR="007009A3" w:rsidRPr="004126E5" w14:paraId="03D4177D" w14:textId="77777777" w:rsidTr="001C064D">
        <w:tc>
          <w:tcPr>
            <w:tcW w:w="2410" w:type="dxa"/>
          </w:tcPr>
          <w:p w14:paraId="3584CD1E" w14:textId="15EE9A41" w:rsidR="007009A3" w:rsidRPr="004126E5" w:rsidRDefault="00F34C4A" w:rsidP="001C064D">
            <w:pPr>
              <w:pStyle w:val="BodyText"/>
              <w:rPr>
                <w:rFonts w:cs="Calibri"/>
                <w:b/>
                <w:bCs/>
              </w:rPr>
            </w:pPr>
            <w:r>
              <w:rPr>
                <w:rFonts w:cs="Calibri"/>
                <w:b/>
                <w:bCs/>
              </w:rPr>
              <w:t>Custodian</w:t>
            </w:r>
          </w:p>
        </w:tc>
        <w:tc>
          <w:tcPr>
            <w:tcW w:w="5953" w:type="dxa"/>
          </w:tcPr>
          <w:p w14:paraId="42BDBBA2" w14:textId="060F63F6" w:rsidR="007009A3" w:rsidRPr="004126E5" w:rsidRDefault="00F34C4A" w:rsidP="001C064D">
            <w:pPr>
              <w:pStyle w:val="BodyText"/>
              <w:rPr>
                <w:rFonts w:cs="Calibri"/>
              </w:rPr>
            </w:pPr>
            <w:proofErr w:type="spellStart"/>
            <w:r>
              <w:rPr>
                <w:rFonts w:cs="Calibri"/>
              </w:rPr>
              <w:t>Swissquote</w:t>
            </w:r>
            <w:proofErr w:type="spellEnd"/>
            <w:r>
              <w:rPr>
                <w:rFonts w:cs="Calibri"/>
              </w:rPr>
              <w:t xml:space="preserve"> MEA Limited</w:t>
            </w:r>
          </w:p>
        </w:tc>
      </w:tr>
      <w:tr w:rsidR="0037226D" w:rsidRPr="004126E5" w14:paraId="78F8F6E9" w14:textId="77777777" w:rsidTr="001C064D">
        <w:tc>
          <w:tcPr>
            <w:tcW w:w="2410" w:type="dxa"/>
          </w:tcPr>
          <w:p w14:paraId="500A0E98" w14:textId="77777777" w:rsidR="0037226D" w:rsidRPr="004126E5" w:rsidRDefault="0037226D" w:rsidP="001C064D">
            <w:pPr>
              <w:pStyle w:val="BodyText"/>
              <w:rPr>
                <w:rFonts w:cs="Calibri"/>
                <w:b/>
                <w:bCs/>
              </w:rPr>
            </w:pPr>
            <w:r w:rsidRPr="004126E5">
              <w:rPr>
                <w:rFonts w:cs="Calibri"/>
                <w:b/>
                <w:bCs/>
              </w:rPr>
              <w:t>Auditor</w:t>
            </w:r>
          </w:p>
        </w:tc>
        <w:tc>
          <w:tcPr>
            <w:tcW w:w="5953" w:type="dxa"/>
          </w:tcPr>
          <w:p w14:paraId="2CDEC359" w14:textId="48666A4E" w:rsidR="0037226D" w:rsidRPr="004126E5" w:rsidRDefault="00301F05" w:rsidP="001C064D">
            <w:pPr>
              <w:pStyle w:val="BodyText"/>
              <w:rPr>
                <w:rFonts w:cs="Calibri"/>
              </w:rPr>
            </w:pPr>
            <w:r>
              <w:rPr>
                <w:rFonts w:cs="Calibri"/>
              </w:rPr>
              <w:t>Grant Thornton</w:t>
            </w:r>
          </w:p>
        </w:tc>
      </w:tr>
      <w:tr w:rsidR="00A51204" w:rsidRPr="004126E5" w14:paraId="518C0665" w14:textId="77777777" w:rsidTr="00ED6730">
        <w:tc>
          <w:tcPr>
            <w:tcW w:w="2410" w:type="dxa"/>
          </w:tcPr>
          <w:p w14:paraId="1F315DA3" w14:textId="1C70CE31" w:rsidR="00A51204" w:rsidRPr="004126E5" w:rsidRDefault="007009A3" w:rsidP="00F45602">
            <w:pPr>
              <w:pStyle w:val="BodyText"/>
              <w:rPr>
                <w:rFonts w:cs="Calibri"/>
                <w:b/>
                <w:bCs/>
              </w:rPr>
            </w:pPr>
            <w:proofErr w:type="spellStart"/>
            <w:r>
              <w:rPr>
                <w:rFonts w:cs="Calibri"/>
                <w:b/>
                <w:bCs/>
              </w:rPr>
              <w:lastRenderedPageBreak/>
              <w:t>Tokeniser</w:t>
            </w:r>
            <w:proofErr w:type="spellEnd"/>
            <w:r>
              <w:rPr>
                <w:rFonts w:cs="Calibri"/>
                <w:b/>
                <w:bCs/>
              </w:rPr>
              <w:t xml:space="preserve"> and </w:t>
            </w:r>
            <w:r w:rsidR="0037226D">
              <w:rPr>
                <w:rFonts w:cs="Calibri"/>
                <w:b/>
                <w:bCs/>
              </w:rPr>
              <w:t>Technical Advisor</w:t>
            </w:r>
          </w:p>
        </w:tc>
        <w:tc>
          <w:tcPr>
            <w:tcW w:w="5953" w:type="dxa"/>
          </w:tcPr>
          <w:p w14:paraId="43E2094F" w14:textId="730F08B9" w:rsidR="00A51204" w:rsidRPr="004126E5" w:rsidRDefault="007009A3" w:rsidP="00F45602">
            <w:pPr>
              <w:pStyle w:val="BodyText"/>
              <w:rPr>
                <w:rFonts w:cs="Calibri"/>
              </w:rPr>
            </w:pPr>
            <w:r>
              <w:rPr>
                <w:rFonts w:cs="Calibri"/>
              </w:rPr>
              <w:t>Realize Technology Solutions Limited</w:t>
            </w:r>
          </w:p>
        </w:tc>
      </w:tr>
      <w:tr w:rsidR="007009A3" w:rsidRPr="004126E5" w14:paraId="0C088CAD" w14:textId="77777777" w:rsidTr="00ED6730">
        <w:tc>
          <w:tcPr>
            <w:tcW w:w="2410" w:type="dxa"/>
          </w:tcPr>
          <w:p w14:paraId="62623E34" w14:textId="3F0D4287" w:rsidR="007009A3" w:rsidRDefault="007009A3" w:rsidP="00F45602">
            <w:pPr>
              <w:pStyle w:val="BodyText"/>
              <w:rPr>
                <w:rFonts w:cs="Calibri"/>
                <w:b/>
                <w:bCs/>
              </w:rPr>
            </w:pPr>
            <w:r>
              <w:rPr>
                <w:rFonts w:cs="Calibri"/>
                <w:b/>
                <w:bCs/>
              </w:rPr>
              <w:t>Technical Advisor</w:t>
            </w:r>
          </w:p>
        </w:tc>
        <w:tc>
          <w:tcPr>
            <w:tcW w:w="5953" w:type="dxa"/>
          </w:tcPr>
          <w:p w14:paraId="6DF93238" w14:textId="44D99828" w:rsidR="007009A3" w:rsidRPr="004126E5" w:rsidRDefault="007009A3" w:rsidP="00F45602">
            <w:pPr>
              <w:pStyle w:val="BodyText"/>
              <w:rPr>
                <w:rFonts w:cs="Calibri"/>
              </w:rPr>
            </w:pPr>
            <w:proofErr w:type="spellStart"/>
            <w:r>
              <w:rPr>
                <w:rFonts w:cs="Calibri"/>
              </w:rPr>
              <w:t>Nakama</w:t>
            </w:r>
            <w:proofErr w:type="spellEnd"/>
            <w:r w:rsidR="00301F05">
              <w:rPr>
                <w:rFonts w:cs="Calibri"/>
              </w:rPr>
              <w:t xml:space="preserve"> Limited</w:t>
            </w:r>
          </w:p>
        </w:tc>
      </w:tr>
    </w:tbl>
    <w:p w14:paraId="7B3797B6" w14:textId="77777777" w:rsidR="00CB4289" w:rsidRPr="004126E5" w:rsidRDefault="00A51204" w:rsidP="00A51204">
      <w:pPr>
        <w:pStyle w:val="BodyText"/>
        <w:rPr>
          <w:rFonts w:cs="Calibri"/>
        </w:rPr>
        <w:sectPr w:rsidR="00CB4289" w:rsidRPr="004126E5" w:rsidSect="0070389B">
          <w:pgSz w:w="11906" w:h="16838" w:code="9"/>
          <w:pgMar w:top="1134" w:right="1418" w:bottom="1134" w:left="1418" w:header="567" w:footer="425" w:gutter="0"/>
          <w:paperSrc w:first="7" w:other="7"/>
          <w:cols w:space="708"/>
          <w:docGrid w:linePitch="360"/>
        </w:sectPr>
      </w:pPr>
      <w:r w:rsidRPr="004126E5">
        <w:rPr>
          <w:rFonts w:cs="Calibri"/>
        </w:rPr>
        <w:br w:type="page"/>
      </w:r>
    </w:p>
    <w:p w14:paraId="28DAEBBA" w14:textId="4851A726" w:rsidR="00B23A6C" w:rsidRDefault="00B23A6C" w:rsidP="00B21A61">
      <w:pPr>
        <w:pStyle w:val="Level1Heading"/>
      </w:pPr>
      <w:bookmarkStart w:id="1" w:name="_Toc169612958"/>
      <w:r w:rsidRPr="004126E5">
        <w:lastRenderedPageBreak/>
        <w:t>MANAGEMENT AND GOVERNANCE</w:t>
      </w:r>
      <w:bookmarkEnd w:id="1"/>
    </w:p>
    <w:p w14:paraId="434C2899" w14:textId="77777777" w:rsidR="00C54A74" w:rsidRPr="004126E5" w:rsidRDefault="00C54A74" w:rsidP="00C54A74">
      <w:pPr>
        <w:pStyle w:val="Level1Heading"/>
        <w:numPr>
          <w:ilvl w:val="0"/>
          <w:numId w:val="0"/>
        </w:numPr>
        <w:ind w:left="720"/>
        <w:jc w:val="both"/>
      </w:pPr>
    </w:p>
    <w:p w14:paraId="31435347" w14:textId="77777777" w:rsidR="00804467" w:rsidRPr="004126E5" w:rsidRDefault="00804467" w:rsidP="00B21A61">
      <w:pPr>
        <w:pStyle w:val="Level2Heading"/>
      </w:pPr>
      <w:r w:rsidRPr="004126E5">
        <w:t>Fund Manager</w:t>
      </w:r>
    </w:p>
    <w:p w14:paraId="1D3EAC8A" w14:textId="7D710093" w:rsidR="0037226D" w:rsidRDefault="0037226D" w:rsidP="00CE03A4">
      <w:pPr>
        <w:pStyle w:val="Level3Number"/>
      </w:pPr>
      <w:r>
        <w:t>General</w:t>
      </w:r>
    </w:p>
    <w:p w14:paraId="775DE5B6" w14:textId="21DD5B8B" w:rsidR="00ED6730" w:rsidRDefault="00B23A6C" w:rsidP="0037226D">
      <w:pPr>
        <w:pStyle w:val="Level4Number"/>
      </w:pPr>
      <w:r w:rsidRPr="004126E5">
        <w:t xml:space="preserve">The </w:t>
      </w:r>
      <w:r w:rsidR="0037226D">
        <w:t>Fund</w:t>
      </w:r>
      <w:r w:rsidRPr="004126E5">
        <w:t xml:space="preserve"> has appointed </w:t>
      </w:r>
      <w:proofErr w:type="spellStart"/>
      <w:r w:rsidR="00DF5C35">
        <w:rPr>
          <w:szCs w:val="22"/>
        </w:rPr>
        <w:t>Neov</w:t>
      </w:r>
      <w:r w:rsidR="0037226D">
        <w:rPr>
          <w:szCs w:val="22"/>
        </w:rPr>
        <w:t>ision</w:t>
      </w:r>
      <w:proofErr w:type="spellEnd"/>
      <w:r w:rsidR="0037226D">
        <w:rPr>
          <w:szCs w:val="22"/>
        </w:rPr>
        <w:t xml:space="preserve"> Wealth</w:t>
      </w:r>
      <w:r w:rsidR="0037226D" w:rsidRPr="0037226D">
        <w:rPr>
          <w:szCs w:val="22"/>
        </w:rPr>
        <w:t xml:space="preserve"> </w:t>
      </w:r>
      <w:r w:rsidR="0037226D">
        <w:rPr>
          <w:szCs w:val="22"/>
        </w:rPr>
        <w:t xml:space="preserve">Management Limited </w:t>
      </w:r>
      <w:r w:rsidR="0037226D" w:rsidRPr="0037226D">
        <w:rPr>
          <w:szCs w:val="22"/>
        </w:rPr>
        <w:t>as its fund manager</w:t>
      </w:r>
      <w:r w:rsidRPr="004126E5">
        <w:t xml:space="preserve">, a </w:t>
      </w:r>
      <w:r w:rsidR="00104B93">
        <w:t xml:space="preserve">private </w:t>
      </w:r>
      <w:r w:rsidRPr="004126E5">
        <w:t xml:space="preserve">company limited by shares </w:t>
      </w:r>
      <w:r w:rsidR="00EC4980">
        <w:t>incorporated in the Abu Dhabi Global Market (ADGM) located in the heart of Abu Dhabi, United Arab Emirates (UAE) - Registration number 000007884</w:t>
      </w:r>
      <w:r w:rsidRPr="004126E5">
        <w:t>, to act as the Fund Manager of the Fund pursuant to a fund management agreement (the “</w:t>
      </w:r>
      <w:r w:rsidRPr="004126E5">
        <w:rPr>
          <w:b/>
          <w:bCs/>
        </w:rPr>
        <w:t>Fund</w:t>
      </w:r>
      <w:r w:rsidRPr="004126E5">
        <w:t xml:space="preserve"> </w:t>
      </w:r>
      <w:r w:rsidRPr="004126E5">
        <w:rPr>
          <w:b/>
          <w:bCs/>
        </w:rPr>
        <w:t>Management Agreement</w:t>
      </w:r>
      <w:r w:rsidRPr="004126E5">
        <w:t xml:space="preserve">”). </w:t>
      </w:r>
    </w:p>
    <w:p w14:paraId="0DF2538E" w14:textId="5FE018CC" w:rsidR="00EC4980" w:rsidRDefault="00EC4980" w:rsidP="00EC4980">
      <w:pPr>
        <w:pStyle w:val="Level4Number"/>
      </w:pPr>
      <w:r>
        <w:t xml:space="preserve">The Fund Manager is regulated by the ADGM Financial Services Regulatory Authority (FSRA) - Financial services permission No. 220080.The company is authorized to provide a wide range of services, from advisory to discretionary portfolio management as well as fund management. The authorized regulated financial services are: Arranging Deals in Investments, Advising on Investments or Credit, Arranging Custody, </w:t>
      </w:r>
      <w:proofErr w:type="gramStart"/>
      <w:r>
        <w:t>Managing</w:t>
      </w:r>
      <w:proofErr w:type="gramEnd"/>
      <w:r>
        <w:t xml:space="preserve"> a Collective Investment Fund and Managing Assets</w:t>
      </w:r>
      <w:r w:rsidR="00B23A6C" w:rsidRPr="00ED6730">
        <w:t xml:space="preserve">. </w:t>
      </w:r>
    </w:p>
    <w:p w14:paraId="12F57B3E" w14:textId="6756C871" w:rsidR="00EC4980" w:rsidRPr="00ED6730" w:rsidRDefault="00EC4980" w:rsidP="00EC4980">
      <w:pPr>
        <w:pStyle w:val="Level4Number"/>
      </w:pPr>
      <w:r>
        <w:t>The Fund Manager's founders and management team each have over two decades of experience in investment research, asset allocation, portfolio construction and fund management spanning across asset classes. With a strong grounding in regulatory knowledge, keen understanding of the financial technologies and unparalleled appreciation of the macroeconomic landscape, the team has created an unparalleled track record in structuring financial solutions for institutional asset managers, family offices and high net-worth individuals. The Fund Manager's board members have extensive knowledge of the region, having been advisors to the Government of the UAE and holding prominent positions in regulatory institutions and sovereign wealth funds.</w:t>
      </w:r>
    </w:p>
    <w:p w14:paraId="3793115D" w14:textId="77777777" w:rsidR="00B23A6C" w:rsidRPr="00ED6730" w:rsidRDefault="00B23A6C" w:rsidP="00104B93">
      <w:pPr>
        <w:pStyle w:val="Level3Number"/>
      </w:pPr>
      <w:r w:rsidRPr="00ED6730">
        <w:t>Duties</w:t>
      </w:r>
    </w:p>
    <w:p w14:paraId="502BC748" w14:textId="423FD881" w:rsidR="00B23A6C" w:rsidRPr="004126E5" w:rsidRDefault="00B23A6C" w:rsidP="00104B93">
      <w:pPr>
        <w:pStyle w:val="BodyText3"/>
        <w:ind w:left="720"/>
      </w:pPr>
      <w:r w:rsidRPr="004126E5">
        <w:t xml:space="preserve">The Fund Manager will manage the Fund and its assets in accordance with the Fund Management Agreement the </w:t>
      </w:r>
      <w:r w:rsidR="0037226D">
        <w:t>Articles</w:t>
      </w:r>
      <w:r w:rsidRPr="004126E5">
        <w:t xml:space="preserve"> and the FSRA Rules</w:t>
      </w:r>
      <w:r w:rsidR="00ED6730">
        <w:t>.</w:t>
      </w:r>
    </w:p>
    <w:p w14:paraId="7D14AED5" w14:textId="77777777" w:rsidR="00104B93" w:rsidRDefault="00B23A6C" w:rsidP="00104B93">
      <w:pPr>
        <w:pStyle w:val="Level3Number"/>
      </w:pPr>
      <w:r w:rsidRPr="00ED6730">
        <w:t>Fees and Expenses</w:t>
      </w:r>
    </w:p>
    <w:p w14:paraId="603AC610" w14:textId="135DAA2B" w:rsidR="00B23A6C" w:rsidRPr="004126E5" w:rsidRDefault="00301F05" w:rsidP="00301F05">
      <w:pPr>
        <w:pStyle w:val="Level4Number"/>
        <w:numPr>
          <w:ilvl w:val="0"/>
          <w:numId w:val="0"/>
        </w:numPr>
        <w:ind w:left="720"/>
      </w:pPr>
      <w:r>
        <w:t>The Fund Manager shall not charge any management fee to the Fund</w:t>
      </w:r>
      <w:r w:rsidR="00B2778D">
        <w:t xml:space="preserve">.  The Fund Manager shall however be paid a fee by the </w:t>
      </w:r>
      <w:proofErr w:type="spellStart"/>
      <w:r w:rsidR="00B2778D">
        <w:t>Tokenisor</w:t>
      </w:r>
      <w:proofErr w:type="spellEnd"/>
      <w:r w:rsidR="00B2778D">
        <w:t xml:space="preserve"> (or one of its </w:t>
      </w:r>
      <w:r w:rsidR="00C54A74">
        <w:t>Affiliate</w:t>
      </w:r>
      <w:r w:rsidR="00B2778D">
        <w:t>s), as determined between them</w:t>
      </w:r>
      <w:r w:rsidR="00B23A6C" w:rsidRPr="004126E5">
        <w:t>.</w:t>
      </w:r>
    </w:p>
    <w:p w14:paraId="38A250D5" w14:textId="77777777" w:rsidR="00F61C8C" w:rsidRDefault="00B23A6C" w:rsidP="00104B93">
      <w:pPr>
        <w:pStyle w:val="Level3Number"/>
      </w:pPr>
      <w:r w:rsidRPr="004126E5">
        <w:t>Termination and Removal</w:t>
      </w:r>
      <w:bookmarkStart w:id="2" w:name="_Hlk148691917"/>
    </w:p>
    <w:bookmarkEnd w:id="2"/>
    <w:p w14:paraId="1403D0A3" w14:textId="5868CE80" w:rsidR="009778CC" w:rsidRPr="00DA22B2" w:rsidRDefault="009778CC" w:rsidP="009778CC">
      <w:pPr>
        <w:pStyle w:val="Level4Number"/>
        <w:rPr>
          <w:szCs w:val="24"/>
        </w:rPr>
      </w:pPr>
      <w:r w:rsidRPr="00DA22B2">
        <w:rPr>
          <w:szCs w:val="24"/>
        </w:rPr>
        <w:t xml:space="preserve">The Fund Management Agreement may be terminated by the Fund Manager and the Fund Manager may resign in </w:t>
      </w:r>
      <w:r w:rsidRPr="00EC1C7F">
        <w:t>certain</w:t>
      </w:r>
      <w:r w:rsidRPr="00DA22B2">
        <w:rPr>
          <w:szCs w:val="24"/>
        </w:rPr>
        <w:t xml:space="preserve"> circumstances including by giving not less than 90 days</w:t>
      </w:r>
      <w:r>
        <w:rPr>
          <w:szCs w:val="24"/>
        </w:rPr>
        <w:t>’</w:t>
      </w:r>
      <w:r w:rsidRPr="00DA22B2">
        <w:rPr>
          <w:szCs w:val="24"/>
        </w:rPr>
        <w:t xml:space="preserve"> </w:t>
      </w:r>
      <w:r w:rsidRPr="009778CC">
        <w:rPr>
          <w:szCs w:val="28"/>
        </w:rPr>
        <w:t>notice</w:t>
      </w:r>
      <w:r w:rsidRPr="00DA22B2">
        <w:rPr>
          <w:szCs w:val="24"/>
        </w:rPr>
        <w:t xml:space="preserve"> in writing to the Fund, provided that the Fund Manager may only voluntarily retire where a replacement fund manager has been appointed to the</w:t>
      </w:r>
      <w:r>
        <w:rPr>
          <w:szCs w:val="24"/>
        </w:rPr>
        <w:t xml:space="preserve"> </w:t>
      </w:r>
      <w:r w:rsidRPr="00DA22B2">
        <w:rPr>
          <w:szCs w:val="24"/>
        </w:rPr>
        <w:t>Fun</w:t>
      </w:r>
      <w:r>
        <w:rPr>
          <w:szCs w:val="24"/>
        </w:rPr>
        <w:t>d</w:t>
      </w:r>
      <w:r w:rsidRPr="00DA22B2">
        <w:rPr>
          <w:szCs w:val="24"/>
        </w:rPr>
        <w:t>.</w:t>
      </w:r>
    </w:p>
    <w:p w14:paraId="20A1FA7D" w14:textId="79DB1409" w:rsidR="00402586" w:rsidRDefault="009778CC" w:rsidP="009778CC">
      <w:pPr>
        <w:pStyle w:val="Level4Number"/>
      </w:pPr>
      <w:r w:rsidRPr="00DA22B2">
        <w:rPr>
          <w:szCs w:val="28"/>
        </w:rPr>
        <w:t>The Fund Management Agreement may be terminated by the Fund and the Fund Manager may be removed and replaced in certain circumstances including (a) by giving not less than 12 months</w:t>
      </w:r>
      <w:r>
        <w:rPr>
          <w:szCs w:val="28"/>
        </w:rPr>
        <w:t>’</w:t>
      </w:r>
      <w:r w:rsidRPr="00DA22B2">
        <w:rPr>
          <w:szCs w:val="28"/>
        </w:rPr>
        <w:t xml:space="preserve"> notice in writing to the Fund Manager</w:t>
      </w:r>
      <w:r>
        <w:rPr>
          <w:szCs w:val="28"/>
        </w:rPr>
        <w:t>,</w:t>
      </w:r>
      <w:r w:rsidRPr="00DA22B2">
        <w:rPr>
          <w:szCs w:val="28"/>
        </w:rPr>
        <w:t xml:space="preserve"> (b) if the Fund Manager commits any material breach of its obligations under the Fund Management Agreement and such breach is not cured (if capable of remedy) within 30 days after receiving a notice from the Fund, setting out such breach in reasonable detail</w:t>
      </w:r>
      <w:r>
        <w:rPr>
          <w:szCs w:val="28"/>
        </w:rPr>
        <w:t>,</w:t>
      </w:r>
      <w:r w:rsidRPr="00DA22B2">
        <w:rPr>
          <w:szCs w:val="28"/>
        </w:rPr>
        <w:t xml:space="preserve"> or (c) </w:t>
      </w:r>
      <w:bookmarkStart w:id="3" w:name="_Hlk169625932"/>
      <w:r w:rsidRPr="00DA22B2">
        <w:rPr>
          <w:szCs w:val="28"/>
        </w:rPr>
        <w:t xml:space="preserve">if </w:t>
      </w:r>
      <w:r w:rsidRPr="00DA22B2">
        <w:rPr>
          <w:szCs w:val="28"/>
        </w:rPr>
        <w:lastRenderedPageBreak/>
        <w:t xml:space="preserve">the Fund Manager is </w:t>
      </w:r>
      <w:r>
        <w:rPr>
          <w:szCs w:val="28"/>
        </w:rPr>
        <w:t>g</w:t>
      </w:r>
      <w:r w:rsidRPr="00DA22B2">
        <w:rPr>
          <w:szCs w:val="28"/>
        </w:rPr>
        <w:t xml:space="preserve">rossly </w:t>
      </w:r>
      <w:r>
        <w:rPr>
          <w:szCs w:val="28"/>
        </w:rPr>
        <w:t>n</w:t>
      </w:r>
      <w:r w:rsidRPr="00DA22B2">
        <w:rPr>
          <w:szCs w:val="28"/>
        </w:rPr>
        <w:t xml:space="preserve">egligent or is engaged in fraud or wilful misconduct in connection with the performance of its obligations </w:t>
      </w:r>
      <w:r w:rsidRPr="00DA22B2">
        <w:rPr>
          <w:szCs w:val="24"/>
        </w:rPr>
        <w:t xml:space="preserve">under the Fund Management Agreement, subject to the approval </w:t>
      </w:r>
      <w:r w:rsidR="006D4C23">
        <w:rPr>
          <w:szCs w:val="24"/>
        </w:rPr>
        <w:t xml:space="preserve">of Token Holders </w:t>
      </w:r>
      <w:r>
        <w:rPr>
          <w:szCs w:val="24"/>
        </w:rPr>
        <w:t>holding more than 75% of the Tokens</w:t>
      </w:r>
      <w:bookmarkEnd w:id="3"/>
      <w:r w:rsidR="00B23A6C" w:rsidRPr="004126E5">
        <w:t>.</w:t>
      </w:r>
    </w:p>
    <w:p w14:paraId="2056254B" w14:textId="4C836DCB" w:rsidR="00B23A6C" w:rsidRDefault="00B23A6C" w:rsidP="00104B93">
      <w:pPr>
        <w:pStyle w:val="Level4Number"/>
        <w:rPr>
          <w:rFonts w:cs="Calibri"/>
        </w:rPr>
      </w:pPr>
      <w:r w:rsidRPr="004126E5">
        <w:t xml:space="preserve">The Fund Manager may be </w:t>
      </w:r>
      <w:proofErr w:type="gramStart"/>
      <w:r w:rsidRPr="004126E5">
        <w:t>removed</w:t>
      </w:r>
      <w:proofErr w:type="gramEnd"/>
      <w:r w:rsidRPr="004126E5">
        <w:t xml:space="preserve"> and the Fund Management Agreement may be </w:t>
      </w:r>
      <w:r w:rsidRPr="00104B93">
        <w:rPr>
          <w:rFonts w:cs="Calibri"/>
        </w:rPr>
        <w:t>terminated upon an order of a Court pursuant to the FSRA Rules.</w:t>
      </w:r>
    </w:p>
    <w:p w14:paraId="00D0DCD3" w14:textId="77777777" w:rsidR="00831CCB" w:rsidRDefault="00831CCB" w:rsidP="00831CCB">
      <w:pPr>
        <w:pStyle w:val="Level2Number"/>
        <w:rPr>
          <w:b/>
          <w:bCs/>
        </w:rPr>
      </w:pPr>
      <w:r w:rsidRPr="00CB799A">
        <w:rPr>
          <w:b/>
          <w:bCs/>
        </w:rPr>
        <w:t xml:space="preserve">The </w:t>
      </w:r>
      <w:r>
        <w:rPr>
          <w:b/>
          <w:bCs/>
        </w:rPr>
        <w:t>Directors of the Fund</w:t>
      </w:r>
    </w:p>
    <w:p w14:paraId="0B9053A2" w14:textId="77777777" w:rsidR="00311C07" w:rsidRDefault="00831CCB" w:rsidP="00831CCB">
      <w:pPr>
        <w:pStyle w:val="Level3Number"/>
        <w:rPr>
          <w:szCs w:val="24"/>
        </w:rPr>
      </w:pPr>
      <w:r w:rsidRPr="00DA22B2">
        <w:rPr>
          <w:szCs w:val="24"/>
        </w:rPr>
        <w:t xml:space="preserve">As at the date of this </w:t>
      </w:r>
      <w:r>
        <w:rPr>
          <w:szCs w:val="24"/>
        </w:rPr>
        <w:t>Prospectus</w:t>
      </w:r>
      <w:r w:rsidRPr="00DA22B2">
        <w:rPr>
          <w:szCs w:val="24"/>
        </w:rPr>
        <w:t xml:space="preserve">, the </w:t>
      </w:r>
      <w:r w:rsidR="006D4C23">
        <w:rPr>
          <w:szCs w:val="24"/>
        </w:rPr>
        <w:t>D</w:t>
      </w:r>
      <w:r w:rsidRPr="00DA22B2">
        <w:rPr>
          <w:szCs w:val="24"/>
        </w:rPr>
        <w:t>irectors of the Fund are</w:t>
      </w:r>
      <w:r w:rsidR="00311C07">
        <w:rPr>
          <w:szCs w:val="24"/>
        </w:rPr>
        <w:t>:</w:t>
      </w:r>
    </w:p>
    <w:p w14:paraId="1772C523" w14:textId="694BF9A9" w:rsidR="00311C07" w:rsidRDefault="00311C07" w:rsidP="00311C07">
      <w:pPr>
        <w:pStyle w:val="Level4Number"/>
      </w:pPr>
      <w:proofErr w:type="spellStart"/>
      <w:r>
        <w:t>Neovision</w:t>
      </w:r>
      <w:proofErr w:type="spellEnd"/>
      <w:r>
        <w:t xml:space="preserve"> Wealth Management Limited</w:t>
      </w:r>
    </w:p>
    <w:p w14:paraId="1B9C764B" w14:textId="7223EC20" w:rsidR="00ED00F3" w:rsidRDefault="00ED00F3" w:rsidP="00ED00F3">
      <w:pPr>
        <w:pStyle w:val="Level5Number"/>
        <w:numPr>
          <w:ilvl w:val="0"/>
          <w:numId w:val="0"/>
        </w:numPr>
        <w:ind w:left="2160" w:hanging="720"/>
      </w:pPr>
      <w:r>
        <w:t>Refer to section 1.1 of this Part II.</w:t>
      </w:r>
    </w:p>
    <w:p w14:paraId="318E5D6E" w14:textId="77777777" w:rsidR="00311C07" w:rsidRDefault="00311C07" w:rsidP="00311C07">
      <w:pPr>
        <w:pStyle w:val="Level4Number"/>
      </w:pPr>
      <w:r>
        <w:t>Robert Daykin</w:t>
      </w:r>
    </w:p>
    <w:p w14:paraId="3DA3118A" w14:textId="4BE80190" w:rsidR="00311C07" w:rsidRDefault="00311C07" w:rsidP="00311C07">
      <w:pPr>
        <w:pStyle w:val="Level4Number"/>
        <w:numPr>
          <w:ilvl w:val="0"/>
          <w:numId w:val="0"/>
        </w:numPr>
        <w:ind w:left="1440"/>
      </w:pPr>
      <w:r>
        <w:t xml:space="preserve">Robert has built a distinguished career over 15 years in fund administration, working with firms such as State Street, IQEQ, and TMF. Throughout his tenure in the industry, Robert has developed a deep expertise in financial services, managing complex fund operations and driving efficiency in fund administration processes. With 9 years’ experience within crypto Robert Co-Founder of </w:t>
      </w:r>
      <w:proofErr w:type="spellStart"/>
      <w:r>
        <w:t>Nakama</w:t>
      </w:r>
      <w:proofErr w:type="spellEnd"/>
      <w:r>
        <w:t xml:space="preserve"> Limited in 2022, a pioneering web3 building studio and venture capital firm, Robert is at the forefront of blockchain technology adoption and is committed to bridging the gap between traditional finance and digital assets, with a particular focus on the integration of blockchain technologies with real-world assets.</w:t>
      </w:r>
    </w:p>
    <w:p w14:paraId="33E4A709" w14:textId="77777777" w:rsidR="00311C07" w:rsidRDefault="00311C07" w:rsidP="00311C07">
      <w:pPr>
        <w:pStyle w:val="Level4Number"/>
      </w:pPr>
      <w:r>
        <w:t>Dominik Scheiner</w:t>
      </w:r>
    </w:p>
    <w:p w14:paraId="65E8DE2E" w14:textId="1E90CB88" w:rsidR="00311C07" w:rsidRDefault="00311C07" w:rsidP="00311C07">
      <w:pPr>
        <w:pStyle w:val="Level4Number"/>
        <w:numPr>
          <w:ilvl w:val="0"/>
          <w:numId w:val="0"/>
        </w:numPr>
        <w:ind w:left="1440"/>
      </w:pPr>
      <w:r w:rsidRPr="00E321FD">
        <w:t>Dominik is a technology entrepreneur from Italy. He is the Co-Founder of IOTA and Chairman of the IOTA Foundation, the non-profit foundation based in Germany, Switzerland and the UAE. As Chairman he leads and oversees the efforts to expand IOTA’s digital infrastructure to create new digital economies for trade and logistics, digital finance and digital identity. He has been a technology entrepreneur for over a decade, with his core expertise including Blockchain, AI, IoT, digital finance, startups and the creation of digital ecosystems</w:t>
      </w:r>
      <w:r w:rsidR="00ED00F3">
        <w:t>.</w:t>
      </w:r>
    </w:p>
    <w:p w14:paraId="31A089B7" w14:textId="77777777" w:rsidR="00311C07" w:rsidRDefault="00311C07" w:rsidP="00311C07">
      <w:pPr>
        <w:pStyle w:val="Level4Number"/>
      </w:pPr>
      <w:r>
        <w:t xml:space="preserve">Stuart </w:t>
      </w:r>
      <w:proofErr w:type="spellStart"/>
      <w:r>
        <w:t>Pinnington</w:t>
      </w:r>
      <w:proofErr w:type="spellEnd"/>
    </w:p>
    <w:p w14:paraId="1E1F4B09" w14:textId="11073651" w:rsidR="00311C07" w:rsidRPr="00311C07" w:rsidRDefault="00311C07" w:rsidP="00ED00F3">
      <w:pPr>
        <w:pStyle w:val="Level2Number"/>
        <w:numPr>
          <w:ilvl w:val="0"/>
          <w:numId w:val="0"/>
        </w:numPr>
        <w:ind w:left="1440"/>
        <w:rPr>
          <w:szCs w:val="24"/>
        </w:rPr>
      </w:pPr>
      <w:r>
        <w:t xml:space="preserve">Stuart is an experienced fund director having held various board positions for over 15 years and worked in financial services for 25 years. He is a qualified solicitor in England and Wales and the Eastern Caribbean Court. He has also qualified as a Chartered Director with the Institute of Directors specialising in all aspects of corporate governance. Stuart is currently regulated and approved to act as a director by the following regulatory authorities: UK (FCA), Jersey (JFSC), Luxembourg (CSSF), Guernsey (GFSC), Malta (MFSA) and the Cayman Islands (CMA).  Stuart has experience acting a fund director in various asset classes including real estate, private equity, digital assets and equity markets. His primary role as director of the </w:t>
      </w:r>
      <w:r w:rsidR="00ED00F3">
        <w:t>F</w:t>
      </w:r>
      <w:r>
        <w:t xml:space="preserve">und will be to provide corporate governance and oversight to the running of the </w:t>
      </w:r>
      <w:r w:rsidR="00ED00F3">
        <w:t>F</w:t>
      </w:r>
      <w:r>
        <w:t>und.</w:t>
      </w:r>
    </w:p>
    <w:p w14:paraId="08AC2A92" w14:textId="77777777" w:rsidR="00831CCB" w:rsidRDefault="00831CCB" w:rsidP="00831CCB">
      <w:pPr>
        <w:pStyle w:val="Level3Number"/>
        <w:rPr>
          <w:szCs w:val="24"/>
        </w:rPr>
      </w:pPr>
      <w:r w:rsidRPr="009778CC">
        <w:rPr>
          <w:szCs w:val="24"/>
        </w:rPr>
        <w:t xml:space="preserve">New Directors may be appointed, and existing Directors may be removed and/or replaced, from time to time by </w:t>
      </w:r>
      <w:r>
        <w:rPr>
          <w:szCs w:val="24"/>
        </w:rPr>
        <w:t>the Fund Manager</w:t>
      </w:r>
      <w:r w:rsidRPr="009778CC">
        <w:rPr>
          <w:szCs w:val="24"/>
        </w:rPr>
        <w:t xml:space="preserve"> in accordance with the </w:t>
      </w:r>
      <w:r>
        <w:rPr>
          <w:szCs w:val="24"/>
        </w:rPr>
        <w:t>ADGM Laws and FSRA Rules</w:t>
      </w:r>
      <w:r w:rsidRPr="009778CC">
        <w:rPr>
          <w:szCs w:val="24"/>
        </w:rPr>
        <w:t>.</w:t>
      </w:r>
    </w:p>
    <w:p w14:paraId="4FE9D803" w14:textId="77777777" w:rsidR="00831CCB" w:rsidRPr="00A80BEB" w:rsidRDefault="00831CCB" w:rsidP="00831CCB">
      <w:pPr>
        <w:pStyle w:val="Level3Number"/>
        <w:rPr>
          <w:szCs w:val="24"/>
        </w:rPr>
      </w:pPr>
      <w:r w:rsidRPr="00A80BEB">
        <w:rPr>
          <w:szCs w:val="24"/>
        </w:rPr>
        <w:lastRenderedPageBreak/>
        <w:t xml:space="preserve">The Articles contain provisions for the indemnification of each of the Directors and officers of the Fund and the Fund Manager, to the fullest extent permitted by </w:t>
      </w:r>
      <w:r>
        <w:rPr>
          <w:szCs w:val="24"/>
        </w:rPr>
        <w:t xml:space="preserve">ADGM Laws and FSRA Rules </w:t>
      </w:r>
      <w:r w:rsidRPr="00A80BEB">
        <w:rPr>
          <w:szCs w:val="24"/>
        </w:rPr>
        <w:t xml:space="preserve">against any loss, liability, damages, actions, proceedings or claims incurred or sustained in connection with it being or having been a Director, Fund Manager or an officer of the Fund except where such loss, liability, damages, actions, proceedings, or claims arises as a result of their own fraud, </w:t>
      </w:r>
      <w:r>
        <w:rPr>
          <w:szCs w:val="24"/>
        </w:rPr>
        <w:t>g</w:t>
      </w:r>
      <w:r w:rsidRPr="00A80BEB">
        <w:rPr>
          <w:szCs w:val="24"/>
        </w:rPr>
        <w:t xml:space="preserve">ross </w:t>
      </w:r>
      <w:r>
        <w:rPr>
          <w:szCs w:val="24"/>
        </w:rPr>
        <w:t>n</w:t>
      </w:r>
      <w:r w:rsidRPr="00A80BEB">
        <w:rPr>
          <w:szCs w:val="24"/>
        </w:rPr>
        <w:t xml:space="preserve">egligence or wilful misconduct. Furthermore, the Articles provide that subject to any provision of </w:t>
      </w:r>
      <w:r>
        <w:rPr>
          <w:szCs w:val="24"/>
        </w:rPr>
        <w:t xml:space="preserve">ADGM Laws and FSRA Rules </w:t>
      </w:r>
      <w:r w:rsidRPr="00A80BEB">
        <w:rPr>
          <w:szCs w:val="24"/>
        </w:rPr>
        <w:t xml:space="preserve">to the contrary, the Directors, the Fund Manager and officers of the Fund, shall not be liable for any loss, liability, damages, actions, proceedings or claims to or of the Fund at any time unless caused by their own fraud, </w:t>
      </w:r>
      <w:r>
        <w:rPr>
          <w:szCs w:val="24"/>
        </w:rPr>
        <w:t>g</w:t>
      </w:r>
      <w:r w:rsidRPr="00A80BEB">
        <w:rPr>
          <w:szCs w:val="24"/>
        </w:rPr>
        <w:t xml:space="preserve">ross </w:t>
      </w:r>
      <w:r>
        <w:rPr>
          <w:szCs w:val="24"/>
        </w:rPr>
        <w:t>n</w:t>
      </w:r>
      <w:r w:rsidRPr="00A80BEB">
        <w:rPr>
          <w:szCs w:val="24"/>
        </w:rPr>
        <w:t>egligence or wilful misconduct.</w:t>
      </w:r>
    </w:p>
    <w:p w14:paraId="5910D50A" w14:textId="77777777" w:rsidR="00831CCB" w:rsidRPr="00A80BEB" w:rsidRDefault="00831CCB" w:rsidP="00831CCB">
      <w:pPr>
        <w:pStyle w:val="Level3Number"/>
      </w:pPr>
      <w:r w:rsidRPr="00DA22B2">
        <w:rPr>
          <w:szCs w:val="24"/>
        </w:rPr>
        <w:t>No fees shall be paid by the Fund to the Directors who are officers or employees of the Fund Manager. The Fund shall reimburse the Directors for reasonable travel and other expenses incurred in connection with their activities as directors of the Fund</w:t>
      </w:r>
      <w:r>
        <w:rPr>
          <w:szCs w:val="24"/>
        </w:rPr>
        <w:t>.</w:t>
      </w:r>
    </w:p>
    <w:p w14:paraId="38273E3A" w14:textId="0A71991E" w:rsidR="00831CCB" w:rsidRDefault="00831CCB" w:rsidP="00EC4980">
      <w:pPr>
        <w:pStyle w:val="Level3Number"/>
      </w:pPr>
      <w:r>
        <w:rPr>
          <w:szCs w:val="24"/>
        </w:rPr>
        <w:t>The initial Director</w:t>
      </w:r>
      <w:r w:rsidR="00EC4980">
        <w:rPr>
          <w:szCs w:val="24"/>
        </w:rPr>
        <w:t xml:space="preserve"> of Fund will be </w:t>
      </w:r>
      <w:proofErr w:type="spellStart"/>
      <w:r w:rsidR="00EC4980">
        <w:rPr>
          <w:szCs w:val="24"/>
        </w:rPr>
        <w:t>Neovision</w:t>
      </w:r>
      <w:proofErr w:type="spellEnd"/>
      <w:r w:rsidR="00EC4980">
        <w:rPr>
          <w:szCs w:val="24"/>
        </w:rPr>
        <w:t xml:space="preserve"> Wealth Management Limited, a profile of which is set out in section 1.1 of this Part II.</w:t>
      </w:r>
    </w:p>
    <w:p w14:paraId="4708CDEC" w14:textId="77777777" w:rsidR="00831CCB" w:rsidRPr="004126E5" w:rsidRDefault="00831CCB" w:rsidP="00831CCB">
      <w:pPr>
        <w:pStyle w:val="Level3Number"/>
      </w:pPr>
      <w:r>
        <w:t xml:space="preserve">The </w:t>
      </w:r>
      <w:r w:rsidRPr="004126E5">
        <w:t>Administrator</w:t>
      </w:r>
    </w:p>
    <w:p w14:paraId="37D0C39B" w14:textId="0E178388" w:rsidR="00831CCB" w:rsidRPr="004126E5" w:rsidRDefault="00831CCB" w:rsidP="00831CCB">
      <w:pPr>
        <w:pStyle w:val="Level4Number"/>
        <w:rPr>
          <w:rFonts w:cs="Calibri"/>
        </w:rPr>
      </w:pPr>
      <w:r>
        <w:rPr>
          <w:rFonts w:cs="Calibri"/>
        </w:rPr>
        <w:t>Ascent</w:t>
      </w:r>
      <w:r w:rsidR="00301F05">
        <w:rPr>
          <w:rFonts w:cs="Calibri"/>
        </w:rPr>
        <w:t xml:space="preserve"> </w:t>
      </w:r>
      <w:r w:rsidR="001735DD">
        <w:rPr>
          <w:rFonts w:cs="Calibri"/>
        </w:rPr>
        <w:t>Fund Services Ltd.</w:t>
      </w:r>
      <w:r w:rsidRPr="004126E5">
        <w:rPr>
          <w:rFonts w:cs="Calibri"/>
        </w:rPr>
        <w:t xml:space="preserve"> has been appointed by the Fund as the </w:t>
      </w:r>
      <w:r w:rsidR="00492A29">
        <w:rPr>
          <w:rFonts w:cs="Calibri"/>
        </w:rPr>
        <w:t>f</w:t>
      </w:r>
      <w:r w:rsidRPr="004126E5">
        <w:rPr>
          <w:rFonts w:cs="Calibri"/>
        </w:rPr>
        <w:t>und administrator (the “</w:t>
      </w:r>
      <w:r w:rsidRPr="004126E5">
        <w:rPr>
          <w:rFonts w:cs="Calibri"/>
          <w:b/>
          <w:bCs/>
        </w:rPr>
        <w:t>Administrator</w:t>
      </w:r>
      <w:r w:rsidRPr="004126E5">
        <w:rPr>
          <w:rFonts w:cs="Calibri"/>
        </w:rPr>
        <w:t xml:space="preserve">”) pursuant to the terms of </w:t>
      </w:r>
      <w:r w:rsidR="00492A29">
        <w:rPr>
          <w:rFonts w:cs="Calibri"/>
        </w:rPr>
        <w:t>the</w:t>
      </w:r>
      <w:r w:rsidRPr="004126E5">
        <w:rPr>
          <w:rFonts w:cs="Calibri"/>
        </w:rPr>
        <w:t xml:space="preserve"> administrative agreement </w:t>
      </w:r>
      <w:proofErr w:type="gramStart"/>
      <w:r w:rsidRPr="004126E5">
        <w:rPr>
          <w:rFonts w:cs="Calibri"/>
        </w:rPr>
        <w:t>entered into</w:t>
      </w:r>
      <w:proofErr w:type="gramEnd"/>
      <w:r w:rsidRPr="004126E5">
        <w:rPr>
          <w:rFonts w:cs="Calibri"/>
        </w:rPr>
        <w:t xml:space="preserve"> (or to be entered into) between the Fund and the Administrator (the “</w:t>
      </w:r>
      <w:r w:rsidRPr="004126E5">
        <w:rPr>
          <w:rFonts w:cs="Calibri"/>
          <w:b/>
          <w:bCs/>
        </w:rPr>
        <w:t>Administration Agreement</w:t>
      </w:r>
      <w:r w:rsidRPr="004126E5">
        <w:rPr>
          <w:rFonts w:cs="Calibri"/>
        </w:rPr>
        <w:t xml:space="preserve">”). </w:t>
      </w:r>
    </w:p>
    <w:p w14:paraId="1A2B1CB7" w14:textId="77777777" w:rsidR="00492A29" w:rsidRPr="006808DD" w:rsidRDefault="00492A29" w:rsidP="00492A29">
      <w:pPr>
        <w:pStyle w:val="Level4Number"/>
        <w:rPr>
          <w:color w:val="272727"/>
        </w:rPr>
      </w:pPr>
      <w:r w:rsidRPr="006808DD">
        <w:rPr>
          <w:color w:val="272727"/>
        </w:rPr>
        <w:t xml:space="preserve">Under the Administration Agreement, the Administrator has agreed to administer the affairs of the Fund and in connection therewith perform certain designated services for the Fund under the ultimate supervision of the Directors, including, but not limited to, the calculation of the Net Asset Value of the Fund, maintaining the accounts, books and records of the Fund, preparing information for the Fund’s reports to </w:t>
      </w:r>
      <w:r>
        <w:rPr>
          <w:color w:val="272727"/>
        </w:rPr>
        <w:t>Token H</w:t>
      </w:r>
      <w:r w:rsidRPr="006808DD">
        <w:rPr>
          <w:color w:val="272727"/>
        </w:rPr>
        <w:t xml:space="preserve">olders, responding to </w:t>
      </w:r>
      <w:r>
        <w:rPr>
          <w:color w:val="272727"/>
        </w:rPr>
        <w:t>Token H</w:t>
      </w:r>
      <w:r w:rsidRPr="006808DD">
        <w:rPr>
          <w:color w:val="272727"/>
        </w:rPr>
        <w:t xml:space="preserve">olders’ enquiries relating to the Fund, ensuring that the Fund complies with the applicable AML/CFT laws and regulations, accepting and processing subscriptions and redemption requests from investors, maintaining the register of members of the Fund, providing confirmations of share ownership to </w:t>
      </w:r>
      <w:r>
        <w:rPr>
          <w:color w:val="272727"/>
        </w:rPr>
        <w:t>Token H</w:t>
      </w:r>
      <w:r w:rsidRPr="006808DD">
        <w:rPr>
          <w:color w:val="272727"/>
        </w:rPr>
        <w:t xml:space="preserve">olders, compliance services with respect to the U.S. Foreign Account Tax Compliance Act (FATCA) and to the Common Reporting Standard (CRS) and such other administrative services as may be required by the Fund from time to time. </w:t>
      </w:r>
    </w:p>
    <w:p w14:paraId="02F94FDB" w14:textId="77777777" w:rsidR="00492A29" w:rsidRPr="006808DD" w:rsidRDefault="00492A29" w:rsidP="00492A29">
      <w:pPr>
        <w:pStyle w:val="Level4Number"/>
        <w:rPr>
          <w:color w:val="272727"/>
        </w:rPr>
      </w:pPr>
      <w:r w:rsidRPr="006808DD">
        <w:rPr>
          <w:color w:val="272727"/>
        </w:rPr>
        <w:t xml:space="preserve">The Administration Agreement provides, inter alia, that the Administrator shall exercise reasonable care in the performance of its duties thereunder and shall not be liable to the Fund for any loss sustained by the Fund, except a loss resulting directly from the gross negligence, </w:t>
      </w:r>
      <w:r>
        <w:rPr>
          <w:color w:val="272727"/>
        </w:rPr>
        <w:t xml:space="preserve">wilful default, </w:t>
      </w:r>
      <w:r w:rsidRPr="006808DD">
        <w:rPr>
          <w:color w:val="272727"/>
        </w:rPr>
        <w:t>wilful misconduct</w:t>
      </w:r>
      <w:r>
        <w:rPr>
          <w:color w:val="272727"/>
        </w:rPr>
        <w:t>,</w:t>
      </w:r>
      <w:r w:rsidRPr="006808DD">
        <w:rPr>
          <w:color w:val="272727"/>
        </w:rPr>
        <w:t xml:space="preserve"> fraud </w:t>
      </w:r>
      <w:r>
        <w:rPr>
          <w:color w:val="272727"/>
        </w:rPr>
        <w:t xml:space="preserve">or material breach </w:t>
      </w:r>
      <w:r w:rsidRPr="006808DD">
        <w:rPr>
          <w:color w:val="272727"/>
        </w:rPr>
        <w:t>on the part of the Administrator.</w:t>
      </w:r>
    </w:p>
    <w:p w14:paraId="317940F4" w14:textId="77777777" w:rsidR="00492A29" w:rsidRPr="006808DD" w:rsidRDefault="00492A29" w:rsidP="00492A29">
      <w:pPr>
        <w:pStyle w:val="Level4Number"/>
        <w:rPr>
          <w:color w:val="272727"/>
        </w:rPr>
      </w:pPr>
      <w:r w:rsidRPr="006808DD">
        <w:rPr>
          <w:color w:val="272727"/>
        </w:rPr>
        <w:t>Under the Administration Agreement, the Fund has undertaken to hold harmless and indemnify the Administrator against all liabilities, damages, costs, claims, regulatory fines and expenses (including and without limitation reasonable legal fees and amounts in settlement with the agreement of the Fund, such agreement not to be unreasonably withheld) incurred by the Administrator, its directors, officers, employees, servants, delegates or agents in the performance of the services under the Administration Agreement except such liabilities, damages, costs, claims, regulatory fines and expenses as shall arise from the gross negligence,</w:t>
      </w:r>
      <w:r>
        <w:rPr>
          <w:color w:val="272727"/>
        </w:rPr>
        <w:t xml:space="preserve"> wilful default,</w:t>
      </w:r>
      <w:r w:rsidRPr="006808DD">
        <w:rPr>
          <w:color w:val="272727"/>
        </w:rPr>
        <w:t xml:space="preserve"> wilful misconduct</w:t>
      </w:r>
      <w:r>
        <w:rPr>
          <w:color w:val="272727"/>
        </w:rPr>
        <w:t>,</w:t>
      </w:r>
      <w:r w:rsidRPr="006808DD">
        <w:rPr>
          <w:color w:val="272727"/>
        </w:rPr>
        <w:t xml:space="preserve"> fraud </w:t>
      </w:r>
      <w:r>
        <w:rPr>
          <w:color w:val="272727"/>
        </w:rPr>
        <w:t xml:space="preserve">or material breach </w:t>
      </w:r>
      <w:r w:rsidRPr="006808DD">
        <w:rPr>
          <w:color w:val="272727"/>
        </w:rPr>
        <w:t>on the part of the Administrator.</w:t>
      </w:r>
    </w:p>
    <w:p w14:paraId="13BD938F" w14:textId="77777777" w:rsidR="00492A29" w:rsidRPr="006808DD" w:rsidRDefault="00492A29" w:rsidP="00492A29">
      <w:pPr>
        <w:pStyle w:val="Level4Number"/>
        <w:rPr>
          <w:color w:val="272727"/>
        </w:rPr>
      </w:pPr>
      <w:r w:rsidRPr="006808DD">
        <w:rPr>
          <w:color w:val="272727"/>
        </w:rPr>
        <w:lastRenderedPageBreak/>
        <w:t xml:space="preserve">Pursuant to the Administration Agreement, the Administrator shall not be liable, to the Fund, for any suit or compensation or punitive damages (Damages) that may arise, including, but not limited to, Damages as a result of any direct or indirect economic loss, of, for example, profit, expected Management Fees, goodwill or business reputation, Net Asset Value or investor subscription in the Fund, save where such loss arises from the </w:t>
      </w:r>
      <w:r>
        <w:rPr>
          <w:color w:val="272727"/>
        </w:rPr>
        <w:t xml:space="preserve">wilful default, </w:t>
      </w:r>
      <w:r w:rsidRPr="006808DD">
        <w:rPr>
          <w:color w:val="272727"/>
        </w:rPr>
        <w:t>wilful misconduct, gross negligence</w:t>
      </w:r>
      <w:r>
        <w:rPr>
          <w:color w:val="272727"/>
        </w:rPr>
        <w:t>, material breach</w:t>
      </w:r>
      <w:r w:rsidRPr="006808DD">
        <w:rPr>
          <w:color w:val="272727"/>
        </w:rPr>
        <w:t xml:space="preserve"> or fraud on the part of the Administrator.</w:t>
      </w:r>
    </w:p>
    <w:p w14:paraId="6AD280EE" w14:textId="77777777" w:rsidR="00492A29" w:rsidRPr="006808DD" w:rsidRDefault="00492A29" w:rsidP="00492A29">
      <w:pPr>
        <w:pStyle w:val="Level4Number"/>
        <w:rPr>
          <w:color w:val="272727"/>
        </w:rPr>
      </w:pPr>
      <w:r w:rsidRPr="006808DD">
        <w:rPr>
          <w:color w:val="272727"/>
        </w:rPr>
        <w:t>The Administrator shall have no responsibility for ensuring compliance by or on behalf of the Fund with the legislation or regulations or exemptions from legislation or regulations of any jurisdiction in which the Participating Shares are offered, placed or sold including, and, without limitation, the U.S. The duties of the Administrator pursuant to the Administration Agreement shall not constitute a duty to monitor or enforce the compliance of the Fund or its delegates or any other person whatsoever with any investment restriction or guideline imposed.</w:t>
      </w:r>
    </w:p>
    <w:p w14:paraId="28A91C34" w14:textId="77777777" w:rsidR="00492A29" w:rsidRPr="006808DD" w:rsidRDefault="00492A29" w:rsidP="00492A29">
      <w:pPr>
        <w:pStyle w:val="Level4Number"/>
        <w:rPr>
          <w:color w:val="272727"/>
        </w:rPr>
      </w:pPr>
      <w:r w:rsidRPr="006808DD">
        <w:rPr>
          <w:color w:val="272727"/>
        </w:rPr>
        <w:t xml:space="preserve">The Administration Agreement has an initial term of one year and will be automatically renewed for each subsequent one-year period. It may be terminated by either party on no less than 90 days’ notice in writing before each automatic renewal, and forthwith in certain circumstances. The Administration Agreement is governed by the laws of </w:t>
      </w:r>
      <w:r>
        <w:rPr>
          <w:color w:val="272727"/>
        </w:rPr>
        <w:t>ADGM</w:t>
      </w:r>
      <w:r w:rsidRPr="006808DD">
        <w:rPr>
          <w:color w:val="272727"/>
        </w:rPr>
        <w:t>.</w:t>
      </w:r>
    </w:p>
    <w:p w14:paraId="47B35D22" w14:textId="300597F8" w:rsidR="00831CCB" w:rsidRPr="00831CCB" w:rsidRDefault="00492A29" w:rsidP="00492A29">
      <w:pPr>
        <w:pStyle w:val="Level4Number"/>
        <w:rPr>
          <w:rFonts w:cs="Calibri"/>
        </w:rPr>
      </w:pPr>
      <w:r w:rsidRPr="006808DD">
        <w:rPr>
          <w:color w:val="272727"/>
        </w:rPr>
        <w:t>The Administrator will not provide any investment advisory or management service to the Fund and therefore will not be in any way responsible for the Fund’s performance or investment decisions. The Administrator will not be responsible for monitoring any investment restrictions or compliance with the investment restrictions and therefore will not be liable for any breach thereof</w:t>
      </w:r>
      <w:r w:rsidR="00831CCB" w:rsidRPr="004126E5">
        <w:rPr>
          <w:rFonts w:cs="Calibri"/>
        </w:rPr>
        <w:t>.</w:t>
      </w:r>
    </w:p>
    <w:p w14:paraId="2314A0FF" w14:textId="0E3784F3" w:rsidR="00307426" w:rsidRDefault="00307426" w:rsidP="00307426">
      <w:pPr>
        <w:pStyle w:val="Level2Heading"/>
        <w:rPr>
          <w:rFonts w:cs="Calibri"/>
        </w:rPr>
      </w:pPr>
      <w:proofErr w:type="spellStart"/>
      <w:r>
        <w:rPr>
          <w:rFonts w:cs="Calibri"/>
        </w:rPr>
        <w:t>Tokenisor</w:t>
      </w:r>
      <w:proofErr w:type="spellEnd"/>
      <w:r>
        <w:rPr>
          <w:rFonts w:cs="Calibri"/>
        </w:rPr>
        <w:t xml:space="preserve"> and Technical</w:t>
      </w:r>
      <w:r w:rsidRPr="00104B93">
        <w:rPr>
          <w:rFonts w:cs="Calibri"/>
        </w:rPr>
        <w:t xml:space="preserve"> Advisor</w:t>
      </w:r>
    </w:p>
    <w:p w14:paraId="697115B9" w14:textId="0FA79200" w:rsidR="00307426" w:rsidRDefault="00307426" w:rsidP="00307426">
      <w:pPr>
        <w:pStyle w:val="Level3Number"/>
      </w:pPr>
      <w:r w:rsidRPr="004126E5">
        <w:t xml:space="preserve">The </w:t>
      </w:r>
      <w:r>
        <w:t>Fund</w:t>
      </w:r>
      <w:r w:rsidRPr="004126E5">
        <w:t xml:space="preserve"> has appointed </w:t>
      </w:r>
      <w:r>
        <w:rPr>
          <w:color w:val="000000"/>
        </w:rPr>
        <w:t xml:space="preserve">Realize </w:t>
      </w:r>
      <w:r>
        <w:t>Technology Solutions Limited</w:t>
      </w:r>
      <w:r w:rsidRPr="004126E5">
        <w:t xml:space="preserve">, a </w:t>
      </w:r>
      <w:r>
        <w:t xml:space="preserve">private </w:t>
      </w:r>
      <w:r w:rsidRPr="004126E5">
        <w:t xml:space="preserve">company limited by shares incorporated in </w:t>
      </w:r>
      <w:r w:rsidR="00831CCB">
        <w:t>ADGM</w:t>
      </w:r>
      <w:r w:rsidRPr="004126E5">
        <w:t xml:space="preserve">, to act as </w:t>
      </w:r>
      <w:proofErr w:type="spellStart"/>
      <w:r w:rsidR="00831CCB">
        <w:t>tokeniser</w:t>
      </w:r>
      <w:proofErr w:type="spellEnd"/>
      <w:r w:rsidR="00831CCB">
        <w:t xml:space="preserve"> and </w:t>
      </w:r>
      <w:r>
        <w:t xml:space="preserve">technical advisor to </w:t>
      </w:r>
      <w:r w:rsidRPr="004126E5">
        <w:t>the Fund</w:t>
      </w:r>
      <w:r>
        <w:t xml:space="preserve"> (the "</w:t>
      </w:r>
      <w:proofErr w:type="spellStart"/>
      <w:r w:rsidR="00831CCB" w:rsidRPr="00831CCB">
        <w:rPr>
          <w:b/>
          <w:bCs/>
        </w:rPr>
        <w:t>Tokenisor</w:t>
      </w:r>
      <w:proofErr w:type="spellEnd"/>
      <w:r>
        <w:t>").</w:t>
      </w:r>
      <w:r w:rsidR="00831CCB">
        <w:t xml:space="preserve">  The </w:t>
      </w:r>
      <w:proofErr w:type="spellStart"/>
      <w:r w:rsidR="00831CCB">
        <w:t>Tokeniser</w:t>
      </w:r>
      <w:proofErr w:type="spellEnd"/>
      <w:r w:rsidR="00831CCB">
        <w:t xml:space="preserve"> is </w:t>
      </w:r>
      <w:r w:rsidR="00301F05">
        <w:t>a software and technology company incorporated in the ADGM</w:t>
      </w:r>
      <w:r w:rsidR="00831CCB">
        <w:t>.</w:t>
      </w:r>
      <w:r w:rsidR="0060430F">
        <w:t xml:space="preserve">  The </w:t>
      </w:r>
      <w:proofErr w:type="spellStart"/>
      <w:r w:rsidR="0060430F">
        <w:t>Tokenisor</w:t>
      </w:r>
      <w:proofErr w:type="spellEnd"/>
      <w:r w:rsidR="0060430F">
        <w:t xml:space="preserve"> is being supported by the Technical Advisor.</w:t>
      </w:r>
    </w:p>
    <w:p w14:paraId="28D5F587" w14:textId="3A7E3A75" w:rsidR="0060430F" w:rsidRDefault="0060430F" w:rsidP="00307426">
      <w:pPr>
        <w:pStyle w:val="Level3Number"/>
      </w:pPr>
      <w:r>
        <w:t xml:space="preserve">The </w:t>
      </w:r>
      <w:proofErr w:type="spellStart"/>
      <w:r>
        <w:t>Tokenisor</w:t>
      </w:r>
      <w:proofErr w:type="spellEnd"/>
      <w:r>
        <w:t xml:space="preserve"> was founded by Dominik Scheiner, the founder of IOTA Foundation.  </w:t>
      </w:r>
      <w:r w:rsidRPr="0060430F">
        <w:t>OTA is a globally operating L1 Blockchain, dedicated to revolutionising real-world assets (RWA) and living up to its vision of tokenising everything. Its technical uniqueness and excellence roots back to the IOTA Foundation, a not-for-profit organisation, incorporated and headquartered in Berlin, Germany. The IOTA Foundations’ mission encompasses the research and development of innovative DLT solutions, fostering education and facilitating the adoption of these technologies. IOTA`s Ecosystem DLT Foundation, headquartered in Abu Dhabi creates vibrant ecosystems and advocates for standardisation. Both entities are at the forefront of enabling secure, scalable digital innovations in asset management and beyond</w:t>
      </w:r>
      <w:r>
        <w:t>.</w:t>
      </w:r>
    </w:p>
    <w:p w14:paraId="335B00C9" w14:textId="77777777" w:rsidR="00831CCB" w:rsidRDefault="00831CCB" w:rsidP="00831CCB">
      <w:pPr>
        <w:pStyle w:val="Level2Number"/>
      </w:pPr>
      <w:r w:rsidRPr="00831CCB">
        <w:rPr>
          <w:color w:val="000000"/>
        </w:rPr>
        <w:t xml:space="preserve">The role of the </w:t>
      </w:r>
      <w:proofErr w:type="spellStart"/>
      <w:r w:rsidRPr="00831CCB">
        <w:rPr>
          <w:color w:val="000000"/>
        </w:rPr>
        <w:t>Tokeniser</w:t>
      </w:r>
      <w:proofErr w:type="spellEnd"/>
      <w:r w:rsidRPr="00831CCB">
        <w:rPr>
          <w:color w:val="000000"/>
        </w:rPr>
        <w:t xml:space="preserve"> is, among other things, to provide the following services to the Fund:</w:t>
      </w:r>
    </w:p>
    <w:p w14:paraId="4539FBC8" w14:textId="0BF08202" w:rsidR="00831CCB" w:rsidRPr="00831CCB" w:rsidRDefault="0016365A" w:rsidP="00831CCB">
      <w:pPr>
        <w:pStyle w:val="Level4Number"/>
        <w:rPr>
          <w:b/>
        </w:rPr>
      </w:pPr>
      <w:r>
        <w:rPr>
          <w:color w:val="000000"/>
        </w:rPr>
        <w:t>creating and minting of</w:t>
      </w:r>
      <w:r w:rsidR="00831CCB" w:rsidRPr="00831CCB">
        <w:rPr>
          <w:color w:val="000000"/>
        </w:rPr>
        <w:t xml:space="preserve"> the tokens representing the securities for the respective Products in the network as </w:t>
      </w:r>
      <w:r w:rsidR="00E7425A">
        <w:rPr>
          <w:color w:val="000000"/>
        </w:rPr>
        <w:t>"</w:t>
      </w:r>
      <w:r w:rsidR="00831CCB" w:rsidRPr="00831CCB">
        <w:rPr>
          <w:color w:val="000000"/>
        </w:rPr>
        <w:t>Ledger-Based Securities</w:t>
      </w:r>
      <w:r w:rsidR="00E7425A">
        <w:rPr>
          <w:color w:val="000000"/>
        </w:rPr>
        <w:t>"</w:t>
      </w:r>
      <w:r w:rsidR="00831CCB" w:rsidRPr="00831CCB">
        <w:rPr>
          <w:color w:val="000000"/>
        </w:rPr>
        <w:t xml:space="preserve"> in accordance with the specifications defined by the </w:t>
      </w:r>
      <w:proofErr w:type="gramStart"/>
      <w:r w:rsidR="00831CCB">
        <w:rPr>
          <w:color w:val="000000"/>
        </w:rPr>
        <w:t>Fund;</w:t>
      </w:r>
      <w:proofErr w:type="gramEnd"/>
    </w:p>
    <w:p w14:paraId="5C7CFC8C" w14:textId="77777777" w:rsidR="00831CCB" w:rsidRPr="00831CCB" w:rsidRDefault="00831CCB" w:rsidP="00831CCB">
      <w:pPr>
        <w:pStyle w:val="Level4Number"/>
        <w:rPr>
          <w:b/>
        </w:rPr>
      </w:pPr>
      <w:r w:rsidRPr="00831CCB">
        <w:rPr>
          <w:color w:val="000000"/>
        </w:rPr>
        <w:t xml:space="preserve">safeguard the tokenised securities until required by the </w:t>
      </w:r>
      <w:proofErr w:type="gramStart"/>
      <w:r w:rsidRPr="00831CCB">
        <w:rPr>
          <w:color w:val="000000"/>
        </w:rPr>
        <w:t>Fund;</w:t>
      </w:r>
      <w:proofErr w:type="gramEnd"/>
    </w:p>
    <w:p w14:paraId="41F17F58" w14:textId="59AFB933" w:rsidR="00831CCB" w:rsidRPr="00831CCB" w:rsidRDefault="00831CCB" w:rsidP="00831CCB">
      <w:pPr>
        <w:pStyle w:val="Level4Number"/>
        <w:rPr>
          <w:b/>
        </w:rPr>
      </w:pPr>
      <w:r w:rsidRPr="00831CCB">
        <w:rPr>
          <w:color w:val="000000"/>
        </w:rPr>
        <w:t xml:space="preserve">deliver the Tokens when required and as instructed by the Fund. </w:t>
      </w:r>
      <w:r>
        <w:t xml:space="preserve">A strict process shall be followed to ensure tokens are only minted upon instruction received from the </w:t>
      </w:r>
      <w:r>
        <w:lastRenderedPageBreak/>
        <w:t xml:space="preserve">Administrator (fund administrator) via secure, authenticated and encrypted </w:t>
      </w:r>
      <w:proofErr w:type="gramStart"/>
      <w:r>
        <w:t>communication</w:t>
      </w:r>
      <w:r w:rsidRPr="00831CCB">
        <w:rPr>
          <w:color w:val="000000"/>
        </w:rPr>
        <w:t>;</w:t>
      </w:r>
      <w:proofErr w:type="gramEnd"/>
    </w:p>
    <w:p w14:paraId="68AF2FCE" w14:textId="45F16D9B" w:rsidR="00831CCB" w:rsidRPr="00831CCB" w:rsidRDefault="00831CCB" w:rsidP="00831CCB">
      <w:pPr>
        <w:pStyle w:val="Level4Number"/>
        <w:rPr>
          <w:b/>
        </w:rPr>
      </w:pPr>
      <w:r w:rsidRPr="00831CCB">
        <w:rPr>
          <w:color w:val="000000"/>
        </w:rPr>
        <w:t xml:space="preserve">receive and cancel, i.e. burn (destroying) the securities in the register in case of redemptions of the Tokens. </w:t>
      </w:r>
      <w:r>
        <w:t xml:space="preserve">A strict process shall be followed to ensure tokens are only cancel tokens upon instruction received from </w:t>
      </w:r>
      <w:r w:rsidR="001735DD">
        <w:t>the Administrator</w:t>
      </w:r>
      <w:r>
        <w:t xml:space="preserve"> via secure, authenticated and encrypted </w:t>
      </w:r>
      <w:proofErr w:type="gramStart"/>
      <w:r>
        <w:t>communication</w:t>
      </w:r>
      <w:r w:rsidRPr="00831CCB">
        <w:rPr>
          <w:color w:val="000000"/>
        </w:rPr>
        <w:t>;</w:t>
      </w:r>
      <w:proofErr w:type="gramEnd"/>
    </w:p>
    <w:p w14:paraId="23C9CDB3" w14:textId="77777777" w:rsidR="00831CCB" w:rsidRPr="00831CCB" w:rsidRDefault="00831CCB" w:rsidP="00831CCB">
      <w:pPr>
        <w:pStyle w:val="Level4Number"/>
        <w:rPr>
          <w:b/>
        </w:rPr>
      </w:pPr>
      <w:r>
        <w:t xml:space="preserve">implement with the help of established third-parties compliant real-time on-chain monitoring of activity and wallets of investors with constant sanctions and AML </w:t>
      </w:r>
      <w:proofErr w:type="gramStart"/>
      <w:r>
        <w:t>screening;</w:t>
      </w:r>
      <w:proofErr w:type="gramEnd"/>
    </w:p>
    <w:p w14:paraId="0FE51A08" w14:textId="77777777" w:rsidR="00831CCB" w:rsidRPr="00831CCB" w:rsidRDefault="00831CCB" w:rsidP="00831CCB">
      <w:pPr>
        <w:pStyle w:val="Level4Number"/>
        <w:rPr>
          <w:b/>
        </w:rPr>
      </w:pPr>
      <w:r>
        <w:t xml:space="preserve">quarantine and possibly burn tokens of investors in case of irregular activity, sanctioned wallets or notifications from regulators and </w:t>
      </w:r>
      <w:proofErr w:type="gramStart"/>
      <w:r>
        <w:t>enforcement;</w:t>
      </w:r>
      <w:proofErr w:type="gramEnd"/>
    </w:p>
    <w:p w14:paraId="63245BC0" w14:textId="77777777" w:rsidR="00831CCB" w:rsidRPr="00831CCB" w:rsidRDefault="00831CCB" w:rsidP="00831CCB">
      <w:pPr>
        <w:pStyle w:val="Level4Number"/>
        <w:rPr>
          <w:b/>
        </w:rPr>
      </w:pPr>
      <w:r w:rsidRPr="00831CCB">
        <w:rPr>
          <w:color w:val="000000"/>
        </w:rPr>
        <w:t xml:space="preserve">develop and deploy smart contracts on different supported blockchains as requested by the </w:t>
      </w:r>
      <w:proofErr w:type="gramStart"/>
      <w:r w:rsidRPr="00831CCB">
        <w:rPr>
          <w:color w:val="000000"/>
        </w:rPr>
        <w:t>Fund;</w:t>
      </w:r>
      <w:proofErr w:type="gramEnd"/>
    </w:p>
    <w:p w14:paraId="04E0D375" w14:textId="77777777" w:rsidR="00831CCB" w:rsidRPr="00831CCB" w:rsidRDefault="00831CCB" w:rsidP="00831CCB">
      <w:pPr>
        <w:pStyle w:val="Level4Number"/>
        <w:rPr>
          <w:b/>
        </w:rPr>
      </w:pPr>
      <w:r w:rsidRPr="00831CCB">
        <w:rPr>
          <w:color w:val="000000"/>
        </w:rPr>
        <w:t xml:space="preserve">security audits of blockchain smart </w:t>
      </w:r>
      <w:proofErr w:type="gramStart"/>
      <w:r w:rsidRPr="00831CCB">
        <w:rPr>
          <w:color w:val="000000"/>
        </w:rPr>
        <w:t>contracts;</w:t>
      </w:r>
      <w:proofErr w:type="gramEnd"/>
    </w:p>
    <w:p w14:paraId="401CE8E6" w14:textId="77777777" w:rsidR="00831CCB" w:rsidRPr="00831CCB" w:rsidRDefault="00831CCB" w:rsidP="00831CCB">
      <w:pPr>
        <w:pStyle w:val="Level4Number"/>
        <w:rPr>
          <w:b/>
        </w:rPr>
      </w:pPr>
      <w:r w:rsidRPr="00831CCB">
        <w:rPr>
          <w:color w:val="000000"/>
        </w:rPr>
        <w:t xml:space="preserve">ongoing support of the blockchain network used for the benefit of the </w:t>
      </w:r>
      <w:proofErr w:type="gramStart"/>
      <w:r w:rsidRPr="00831CCB">
        <w:rPr>
          <w:color w:val="000000"/>
        </w:rPr>
        <w:t>Fund;</w:t>
      </w:r>
      <w:proofErr w:type="gramEnd"/>
    </w:p>
    <w:p w14:paraId="301F9EA4" w14:textId="77777777" w:rsidR="00831CCB" w:rsidRPr="00831CCB" w:rsidRDefault="00831CCB" w:rsidP="00831CCB">
      <w:pPr>
        <w:pStyle w:val="Level4Number"/>
        <w:rPr>
          <w:b/>
        </w:rPr>
      </w:pPr>
      <w:r w:rsidRPr="00831CCB">
        <w:rPr>
          <w:color w:val="000000"/>
        </w:rPr>
        <w:t xml:space="preserve">design and develop a web platform and SDK for issuance and redemption procedures as well as interfacing such web platform and app to the other service providers to the extent required and instructed by the </w:t>
      </w:r>
      <w:proofErr w:type="gramStart"/>
      <w:r w:rsidRPr="00831CCB">
        <w:rPr>
          <w:color w:val="000000"/>
        </w:rPr>
        <w:t>Fund;</w:t>
      </w:r>
      <w:proofErr w:type="gramEnd"/>
    </w:p>
    <w:p w14:paraId="4815C04F" w14:textId="77777777" w:rsidR="00831CCB" w:rsidRPr="00831CCB" w:rsidRDefault="00831CCB" w:rsidP="00831CCB">
      <w:pPr>
        <w:pStyle w:val="Level4Number"/>
        <w:rPr>
          <w:b/>
        </w:rPr>
      </w:pPr>
      <w:r w:rsidRPr="00831CCB">
        <w:rPr>
          <w:color w:val="000000"/>
        </w:rPr>
        <w:t>design and develop administration platform for the Fund to overview the status of the Tokens and the market; and</w:t>
      </w:r>
    </w:p>
    <w:p w14:paraId="27B4B29E" w14:textId="057F8286" w:rsidR="00831CCB" w:rsidRPr="00C54A74" w:rsidRDefault="00831CCB" w:rsidP="00831CCB">
      <w:pPr>
        <w:pStyle w:val="Level4Number"/>
      </w:pPr>
      <w:r w:rsidRPr="00831CCB">
        <w:rPr>
          <w:color w:val="000000"/>
        </w:rPr>
        <w:t xml:space="preserve">oversee the security of both the </w:t>
      </w:r>
      <w:r>
        <w:t>tokenisation platform</w:t>
      </w:r>
      <w:r w:rsidRPr="00831CCB">
        <w:rPr>
          <w:color w:val="000000"/>
        </w:rPr>
        <w:t xml:space="preserve"> and the server systems.</w:t>
      </w:r>
    </w:p>
    <w:p w14:paraId="2FD42A14" w14:textId="63C32690" w:rsidR="00C54A74" w:rsidRDefault="00492A29" w:rsidP="00C54A74">
      <w:pPr>
        <w:pStyle w:val="Level3Number"/>
      </w:pPr>
      <w:r>
        <w:t xml:space="preserve">The </w:t>
      </w:r>
      <w:proofErr w:type="spellStart"/>
      <w:r>
        <w:t>Tokenisor</w:t>
      </w:r>
      <w:proofErr w:type="spellEnd"/>
      <w:r>
        <w:t xml:space="preserve"> shall not charge any fees to the Fund, except at such time as the Fund achieves an AUM of US$100,000,000 whereupon, at its election, it may elect to receive a Technical Services Fee of </w:t>
      </w:r>
      <w:r w:rsidRPr="00AB779F">
        <w:t>0.1</w:t>
      </w:r>
      <w:r>
        <w:t xml:space="preserve">% of the Net Asset Value of the Fund </w:t>
      </w:r>
      <w:r>
        <w:rPr>
          <w:rFonts w:cs="Calibri"/>
          <w:color w:val="000000"/>
          <w:szCs w:val="22"/>
        </w:rPr>
        <w:t>(before deduction of any Technical Services Fee)</w:t>
      </w:r>
      <w:r>
        <w:t>, calculated daily and payable quarterly in arrears</w:t>
      </w:r>
      <w:r w:rsidR="00C54A74">
        <w:t>.</w:t>
      </w:r>
    </w:p>
    <w:p w14:paraId="755203B1" w14:textId="05B4636F" w:rsidR="00307426" w:rsidRPr="00A80BEB" w:rsidRDefault="00307426" w:rsidP="00307426">
      <w:pPr>
        <w:pStyle w:val="Level3Number"/>
      </w:pPr>
      <w:r>
        <w:rPr>
          <w:szCs w:val="24"/>
        </w:rPr>
        <w:t xml:space="preserve">The bios of the management team of the </w:t>
      </w:r>
      <w:proofErr w:type="spellStart"/>
      <w:r w:rsidR="00831CCB" w:rsidRPr="00831CCB">
        <w:t>Tokenisor</w:t>
      </w:r>
      <w:proofErr w:type="spellEnd"/>
      <w:r w:rsidR="00831CCB" w:rsidRPr="00307426">
        <w:rPr>
          <w:b/>
          <w:bCs/>
        </w:rPr>
        <w:t xml:space="preserve"> </w:t>
      </w:r>
      <w:r>
        <w:rPr>
          <w:szCs w:val="24"/>
        </w:rPr>
        <w:t>are as follows:</w:t>
      </w:r>
    </w:p>
    <w:p w14:paraId="7DCC6172" w14:textId="77777777" w:rsidR="00AB779F" w:rsidRDefault="00E7425A" w:rsidP="00AB779F">
      <w:pPr>
        <w:pStyle w:val="Level4Number"/>
      </w:pPr>
      <w:bookmarkStart w:id="4" w:name="_Ref169610740"/>
      <w:r>
        <w:t>Robert Daykin</w:t>
      </w:r>
      <w:bookmarkEnd w:id="4"/>
    </w:p>
    <w:p w14:paraId="3E31A1A5" w14:textId="51497033" w:rsidR="00307426" w:rsidRDefault="00ED00F3" w:rsidP="00AB779F">
      <w:pPr>
        <w:pStyle w:val="Level4Number"/>
        <w:numPr>
          <w:ilvl w:val="0"/>
          <w:numId w:val="0"/>
        </w:numPr>
        <w:ind w:left="1440"/>
      </w:pPr>
      <w:r>
        <w:t>See the bio in item 2.1 above of this Part II</w:t>
      </w:r>
      <w:r w:rsidR="00AB779F">
        <w:t>.</w:t>
      </w:r>
    </w:p>
    <w:p w14:paraId="26BCDA25" w14:textId="36097D5B" w:rsidR="00AB779F" w:rsidRDefault="00E7425A" w:rsidP="00AB779F">
      <w:pPr>
        <w:pStyle w:val="Level4Number"/>
      </w:pPr>
      <w:r>
        <w:t>Dominik Scheiner</w:t>
      </w:r>
    </w:p>
    <w:p w14:paraId="57E5B9C5" w14:textId="443641A6" w:rsidR="00307426" w:rsidRDefault="00ED00F3" w:rsidP="00AB779F">
      <w:pPr>
        <w:pStyle w:val="Level4Number"/>
        <w:numPr>
          <w:ilvl w:val="0"/>
          <w:numId w:val="0"/>
        </w:numPr>
        <w:ind w:left="1440"/>
      </w:pPr>
      <w:r>
        <w:t>See the bio in item 2.1 above of this Part II.</w:t>
      </w:r>
    </w:p>
    <w:p w14:paraId="177EE3B7" w14:textId="77777777" w:rsidR="00AB779F" w:rsidRDefault="00AB779F" w:rsidP="00AB779F">
      <w:pPr>
        <w:pStyle w:val="Level4Number"/>
      </w:pPr>
      <w:r>
        <w:t xml:space="preserve">Stuart </w:t>
      </w:r>
      <w:proofErr w:type="spellStart"/>
      <w:r>
        <w:t>Pinnington</w:t>
      </w:r>
      <w:proofErr w:type="spellEnd"/>
    </w:p>
    <w:p w14:paraId="24F5309B" w14:textId="2CB6DB17" w:rsidR="00AB779F" w:rsidRDefault="00ED00F3" w:rsidP="00AB779F">
      <w:pPr>
        <w:pStyle w:val="Level4Number"/>
        <w:numPr>
          <w:ilvl w:val="0"/>
          <w:numId w:val="0"/>
        </w:numPr>
        <w:ind w:left="1440"/>
      </w:pPr>
      <w:r>
        <w:t>See the bio in item 2.1 above of this Part II</w:t>
      </w:r>
      <w:r w:rsidR="00AB779F">
        <w:t>.</w:t>
      </w:r>
    </w:p>
    <w:p w14:paraId="6C2DEC7F" w14:textId="434ACFEF" w:rsidR="00307426" w:rsidRDefault="00307426" w:rsidP="00307426">
      <w:pPr>
        <w:pStyle w:val="Level2Heading"/>
        <w:rPr>
          <w:rFonts w:cs="Calibri"/>
        </w:rPr>
      </w:pPr>
      <w:r>
        <w:rPr>
          <w:rFonts w:cs="Calibri"/>
        </w:rPr>
        <w:t>Technical</w:t>
      </w:r>
      <w:r w:rsidRPr="00104B93">
        <w:rPr>
          <w:rFonts w:cs="Calibri"/>
        </w:rPr>
        <w:t xml:space="preserve"> Advisor</w:t>
      </w:r>
    </w:p>
    <w:p w14:paraId="0206CF82" w14:textId="0A6BBFFD" w:rsidR="00307426" w:rsidRPr="0060430F" w:rsidRDefault="00307426" w:rsidP="00307426">
      <w:pPr>
        <w:pStyle w:val="Level3Number"/>
      </w:pPr>
      <w:r w:rsidRPr="004126E5">
        <w:t xml:space="preserve">The </w:t>
      </w:r>
      <w:proofErr w:type="spellStart"/>
      <w:r w:rsidR="00683C9C">
        <w:t>Tokenisor</w:t>
      </w:r>
      <w:proofErr w:type="spellEnd"/>
      <w:r w:rsidRPr="004126E5">
        <w:t xml:space="preserve"> has appointed </w:t>
      </w:r>
      <w:proofErr w:type="spellStart"/>
      <w:r>
        <w:rPr>
          <w:szCs w:val="22"/>
        </w:rPr>
        <w:t>Nakama</w:t>
      </w:r>
      <w:proofErr w:type="spellEnd"/>
      <w:r w:rsidR="00E7425A">
        <w:rPr>
          <w:szCs w:val="22"/>
        </w:rPr>
        <w:t xml:space="preserve"> Limited</w:t>
      </w:r>
      <w:r w:rsidRPr="004126E5">
        <w:t xml:space="preserve">, a </w:t>
      </w:r>
      <w:r>
        <w:t xml:space="preserve">private </w:t>
      </w:r>
      <w:r w:rsidRPr="004126E5">
        <w:t xml:space="preserve">company limited by shares incorporated in </w:t>
      </w:r>
      <w:r>
        <w:t>Jersey</w:t>
      </w:r>
      <w:r w:rsidRPr="004126E5">
        <w:t xml:space="preserve">, to act as </w:t>
      </w:r>
      <w:r>
        <w:t xml:space="preserve">a </w:t>
      </w:r>
      <w:r w:rsidRPr="0060430F">
        <w:t xml:space="preserve">technical advisor to the </w:t>
      </w:r>
      <w:proofErr w:type="spellStart"/>
      <w:r w:rsidR="00683C9C">
        <w:t>Tokenisor</w:t>
      </w:r>
      <w:proofErr w:type="spellEnd"/>
      <w:r w:rsidR="00683C9C">
        <w:t xml:space="preserve"> and provide additional technical support and expertise</w:t>
      </w:r>
      <w:r w:rsidRPr="0060430F">
        <w:t xml:space="preserve"> (the "</w:t>
      </w:r>
      <w:r w:rsidRPr="0060430F">
        <w:rPr>
          <w:b/>
          <w:bCs/>
        </w:rPr>
        <w:t>Technical Advisor</w:t>
      </w:r>
      <w:r w:rsidRPr="0060430F">
        <w:t>").</w:t>
      </w:r>
    </w:p>
    <w:p w14:paraId="33CE9448" w14:textId="43CE53F8" w:rsidR="0060430F" w:rsidRDefault="00307426" w:rsidP="0060430F">
      <w:pPr>
        <w:pStyle w:val="Level3Number"/>
      </w:pPr>
      <w:r w:rsidRPr="0060430F">
        <w:lastRenderedPageBreak/>
        <w:t xml:space="preserve">The Technical Advisor was established in 2022 as a Web3 venture fund and </w:t>
      </w:r>
      <w:r w:rsidR="00E7425A" w:rsidRPr="0060430F">
        <w:t xml:space="preserve">development </w:t>
      </w:r>
      <w:r w:rsidRPr="0060430F">
        <w:t>studio</w:t>
      </w:r>
      <w:r w:rsidR="0060430F">
        <w:t xml:space="preserve">, </w:t>
      </w:r>
      <w:r w:rsidR="0060430F" w:rsidRPr="0060430F">
        <w:t xml:space="preserve">with a team of over 20 people with extensive experience in developing web3 decentralised applications for smart contract chains including IOTA, Ethereum and other L1 Blockchains. The </w:t>
      </w:r>
      <w:r w:rsidR="0060430F" w:rsidRPr="004E77E1">
        <w:t xml:space="preserve">team is co-founded by Robert Daykin who has over 15 </w:t>
      </w:r>
      <w:proofErr w:type="spellStart"/>
      <w:r w:rsidR="0060430F" w:rsidRPr="004E77E1">
        <w:t>years experience</w:t>
      </w:r>
      <w:proofErr w:type="spellEnd"/>
      <w:r w:rsidR="0060430F" w:rsidRPr="004E77E1">
        <w:t xml:space="preserve"> working within fund administration and operations and 9 </w:t>
      </w:r>
      <w:proofErr w:type="spellStart"/>
      <w:r w:rsidR="0060430F" w:rsidRPr="004E77E1">
        <w:t>years experience</w:t>
      </w:r>
      <w:proofErr w:type="spellEnd"/>
      <w:r w:rsidR="0060430F" w:rsidRPr="004E77E1">
        <w:t xml:space="preserve"> within crypto and web3 and Daniel De Michele</w:t>
      </w:r>
      <w:r w:rsidR="00B847C0" w:rsidRPr="004E77E1">
        <w:t xml:space="preserve"> who</w:t>
      </w:r>
      <w:r w:rsidR="0060430F" w:rsidRPr="004E77E1">
        <w:t xml:space="preserve"> </w:t>
      </w:r>
      <w:r w:rsidR="00AB779F" w:rsidRPr="004E77E1">
        <w:t>is an experienced Chief Technical Officer (CTO) with over 20 years’ experience within software development with a focus on blockchain technologies</w:t>
      </w:r>
      <w:r w:rsidR="0060430F" w:rsidRPr="004E77E1">
        <w:t>. The team is the largest developer and supporter</w:t>
      </w:r>
      <w:r w:rsidR="0060430F" w:rsidRPr="0060430F">
        <w:t xml:space="preserve"> of web3 applications within the IOTA ecosystem and is well placed to ensure the </w:t>
      </w:r>
      <w:proofErr w:type="spellStart"/>
      <w:r w:rsidR="0060430F">
        <w:t>Tokenisor</w:t>
      </w:r>
      <w:proofErr w:type="spellEnd"/>
      <w:r w:rsidR="0060430F" w:rsidRPr="0060430F">
        <w:t xml:space="preserve"> is supported and to build partnership opportunities within the web3 ecosystem</w:t>
      </w:r>
    </w:p>
    <w:p w14:paraId="38D6B32E" w14:textId="7B85E1BF" w:rsidR="00307426" w:rsidRPr="00A80BEB" w:rsidRDefault="00307426" w:rsidP="00307426">
      <w:pPr>
        <w:pStyle w:val="Level3Number"/>
      </w:pPr>
      <w:r w:rsidRPr="0060430F">
        <w:rPr>
          <w:szCs w:val="24"/>
        </w:rPr>
        <w:t>The bios of the management team of the Technical</w:t>
      </w:r>
      <w:r>
        <w:rPr>
          <w:szCs w:val="24"/>
        </w:rPr>
        <w:t xml:space="preserve"> Advisor are as follows:</w:t>
      </w:r>
    </w:p>
    <w:p w14:paraId="1FA4CD0C" w14:textId="693C4C25" w:rsidR="00307426" w:rsidRPr="00B21A61" w:rsidRDefault="00E7425A" w:rsidP="00307426">
      <w:pPr>
        <w:pStyle w:val="Level4Number"/>
      </w:pPr>
      <w:r>
        <w:t>Robert Daykin</w:t>
      </w:r>
    </w:p>
    <w:p w14:paraId="105AF6F7" w14:textId="6E6D54B6" w:rsidR="00307426" w:rsidRDefault="00E7425A" w:rsidP="00E7425A">
      <w:pPr>
        <w:pStyle w:val="BodyText1"/>
        <w:ind w:left="1440"/>
      </w:pPr>
      <w:r>
        <w:t xml:space="preserve">See the bio in item </w:t>
      </w:r>
      <w:r w:rsidR="00ED00F3">
        <w:t>2.1</w:t>
      </w:r>
      <w:r>
        <w:t xml:space="preserve"> above.</w:t>
      </w:r>
    </w:p>
    <w:p w14:paraId="7905F852" w14:textId="77777777" w:rsidR="00F32C5E" w:rsidRDefault="00E7425A" w:rsidP="00F32C5E">
      <w:pPr>
        <w:pStyle w:val="Level4Number"/>
      </w:pPr>
      <w:r>
        <w:t>Daniel</w:t>
      </w:r>
      <w:r w:rsidR="00B2778D">
        <w:t xml:space="preserve"> De Michele</w:t>
      </w:r>
    </w:p>
    <w:p w14:paraId="67C193A1" w14:textId="26D2A38C" w:rsidR="00307426" w:rsidRDefault="00F32C5E" w:rsidP="00F32C5E">
      <w:pPr>
        <w:pStyle w:val="Level4Number"/>
        <w:numPr>
          <w:ilvl w:val="0"/>
          <w:numId w:val="0"/>
        </w:numPr>
        <w:ind w:left="1440"/>
      </w:pPr>
      <w:r w:rsidRPr="000962F4">
        <w:t xml:space="preserve">Daniel is an accomplished leader and software engineer with a strong background in </w:t>
      </w:r>
      <w:r>
        <w:t>blockchain technology and over 20 years’ experience within software development</w:t>
      </w:r>
      <w:r w:rsidRPr="000962F4">
        <w:t xml:space="preserve">. As the CTO and Founding Partner of </w:t>
      </w:r>
      <w:proofErr w:type="spellStart"/>
      <w:r w:rsidRPr="000962F4">
        <w:t>Nakama</w:t>
      </w:r>
      <w:proofErr w:type="spellEnd"/>
      <w:r w:rsidRPr="000962F4">
        <w:t xml:space="preserve"> Labs, he excels in coordinating and inspiring teams to develop cutting-edge web3 solutions. His leadership in the blockchain space is evident through his founding of IOT2TANGLE, which integrates IoT devices with the IOTA protocol, and his roles at IOT1 Academy and the IOTA Evangelist Network. Daniel's career is marked by his vision for blockchain innovation and his ability to drive technological advancements through effective team coordination</w:t>
      </w:r>
      <w:r>
        <w:t>.</w:t>
      </w:r>
    </w:p>
    <w:p w14:paraId="1A7FBA07" w14:textId="1F895697" w:rsidR="00A80BEB" w:rsidRPr="00244F66" w:rsidRDefault="00A80BEB" w:rsidP="00A80BEB">
      <w:pPr>
        <w:pStyle w:val="Level3Number"/>
        <w:rPr>
          <w:b/>
          <w:bCs/>
        </w:rPr>
      </w:pPr>
      <w:r w:rsidRPr="00244F66">
        <w:rPr>
          <w:b/>
          <w:bCs/>
        </w:rPr>
        <w:t>The Auditor</w:t>
      </w:r>
    </w:p>
    <w:p w14:paraId="31104CDA" w14:textId="7C7E04AE" w:rsidR="00A80BEB" w:rsidRPr="004126E5" w:rsidRDefault="00E7425A" w:rsidP="00A80BEB">
      <w:pPr>
        <w:pStyle w:val="Level4Number"/>
        <w:rPr>
          <w:rFonts w:cs="Calibri"/>
        </w:rPr>
      </w:pPr>
      <w:r>
        <w:rPr>
          <w:rFonts w:cs="Calibri"/>
        </w:rPr>
        <w:t xml:space="preserve">Grant Thornton </w:t>
      </w:r>
      <w:r w:rsidR="00A80BEB" w:rsidRPr="004126E5">
        <w:rPr>
          <w:rFonts w:cs="Calibri"/>
        </w:rPr>
        <w:t xml:space="preserve">has been appointed by the Fund as the </w:t>
      </w:r>
      <w:r w:rsidR="00A80BEB">
        <w:rPr>
          <w:rFonts w:cs="Calibri"/>
        </w:rPr>
        <w:t>auditor</w:t>
      </w:r>
      <w:r w:rsidR="00A80BEB" w:rsidRPr="004126E5">
        <w:rPr>
          <w:rFonts w:cs="Calibri"/>
        </w:rPr>
        <w:t xml:space="preserve"> (the “</w:t>
      </w:r>
      <w:r w:rsidR="00A80BEB">
        <w:rPr>
          <w:rFonts w:cs="Calibri"/>
          <w:b/>
          <w:bCs/>
        </w:rPr>
        <w:t>Auditor</w:t>
      </w:r>
      <w:r w:rsidR="00A80BEB" w:rsidRPr="004126E5">
        <w:rPr>
          <w:rFonts w:cs="Calibri"/>
        </w:rPr>
        <w:t xml:space="preserve">”) pursuant to the terms of a services agreement </w:t>
      </w:r>
      <w:proofErr w:type="gramStart"/>
      <w:r w:rsidR="00A80BEB" w:rsidRPr="004126E5">
        <w:rPr>
          <w:rFonts w:cs="Calibri"/>
        </w:rPr>
        <w:t>entered into</w:t>
      </w:r>
      <w:proofErr w:type="gramEnd"/>
      <w:r w:rsidR="00A80BEB" w:rsidRPr="004126E5">
        <w:rPr>
          <w:rFonts w:cs="Calibri"/>
        </w:rPr>
        <w:t xml:space="preserve"> (or to be entered into) between the Fund and the </w:t>
      </w:r>
      <w:r w:rsidR="00A80BEB">
        <w:rPr>
          <w:rFonts w:cs="Calibri"/>
        </w:rPr>
        <w:t>Auditor</w:t>
      </w:r>
      <w:r w:rsidR="00A80BEB" w:rsidRPr="004126E5">
        <w:rPr>
          <w:rFonts w:cs="Calibri"/>
        </w:rPr>
        <w:t xml:space="preserve">. </w:t>
      </w:r>
    </w:p>
    <w:p w14:paraId="6955C552" w14:textId="26567AED" w:rsidR="00A80BEB" w:rsidRPr="001735DD" w:rsidRDefault="00E7425A" w:rsidP="00A80BEB">
      <w:pPr>
        <w:pStyle w:val="Level4Number"/>
        <w:rPr>
          <w:rFonts w:cs="Calibri"/>
          <w:szCs w:val="22"/>
        </w:rPr>
      </w:pPr>
      <w:r>
        <w:rPr>
          <w:rFonts w:cs="Calibri"/>
          <w:color w:val="000000"/>
          <w:szCs w:val="22"/>
        </w:rPr>
        <w:t xml:space="preserve">The Auditor has operated in the UAE for 55 years with over 500 staff in the UAE and 73,000 people globally in 150 countries. As one of the world’s leading </w:t>
      </w:r>
      <w:proofErr w:type="gramStart"/>
      <w:r>
        <w:rPr>
          <w:rFonts w:cs="Calibri"/>
          <w:color w:val="000000"/>
          <w:szCs w:val="22"/>
        </w:rPr>
        <w:t>accountancy</w:t>
      </w:r>
      <w:proofErr w:type="gramEnd"/>
      <w:r>
        <w:rPr>
          <w:rFonts w:cs="Calibri"/>
          <w:color w:val="000000"/>
          <w:szCs w:val="22"/>
        </w:rPr>
        <w:t xml:space="preserve"> practice they </w:t>
      </w:r>
      <w:r w:rsidRPr="001735DD">
        <w:rPr>
          <w:rFonts w:cs="Calibri"/>
          <w:color w:val="000000"/>
          <w:szCs w:val="22"/>
        </w:rPr>
        <w:t>have experience in a broad range of investment strategies and funds</w:t>
      </w:r>
      <w:r w:rsidR="00A80BEB" w:rsidRPr="001735DD">
        <w:rPr>
          <w:rFonts w:cs="Calibri"/>
          <w:szCs w:val="22"/>
        </w:rPr>
        <w:t>.</w:t>
      </w:r>
    </w:p>
    <w:p w14:paraId="46E27072" w14:textId="64A78DA9" w:rsidR="00C56547" w:rsidRPr="00244F66" w:rsidRDefault="00C56547" w:rsidP="00C56547">
      <w:pPr>
        <w:pStyle w:val="Level3Number"/>
        <w:rPr>
          <w:rFonts w:cs="Calibri"/>
          <w:b/>
          <w:bCs/>
          <w:szCs w:val="22"/>
        </w:rPr>
      </w:pPr>
      <w:r w:rsidRPr="00244F66">
        <w:rPr>
          <w:rFonts w:cs="Calibri"/>
          <w:b/>
          <w:bCs/>
          <w:szCs w:val="22"/>
        </w:rPr>
        <w:t xml:space="preserve">The </w:t>
      </w:r>
      <w:r w:rsidR="00F34C4A">
        <w:rPr>
          <w:rFonts w:cs="Calibri"/>
          <w:b/>
          <w:bCs/>
          <w:szCs w:val="22"/>
        </w:rPr>
        <w:t>Custodian</w:t>
      </w:r>
    </w:p>
    <w:p w14:paraId="7800B055" w14:textId="6D3BEE7B" w:rsidR="00C56547" w:rsidRPr="001735DD" w:rsidRDefault="00F34C4A" w:rsidP="00C56547">
      <w:pPr>
        <w:pStyle w:val="Level4Number"/>
        <w:rPr>
          <w:rFonts w:cs="Calibri"/>
          <w:szCs w:val="22"/>
        </w:rPr>
      </w:pPr>
      <w:proofErr w:type="spellStart"/>
      <w:r>
        <w:rPr>
          <w:rFonts w:cs="Calibri"/>
          <w:color w:val="202122"/>
          <w:szCs w:val="22"/>
          <w:highlight w:val="white"/>
        </w:rPr>
        <w:t>Swissquote</w:t>
      </w:r>
      <w:proofErr w:type="spellEnd"/>
      <w:r>
        <w:rPr>
          <w:rFonts w:cs="Calibri"/>
          <w:color w:val="202122"/>
          <w:szCs w:val="22"/>
          <w:highlight w:val="white"/>
        </w:rPr>
        <w:t xml:space="preserve"> MEA Limited</w:t>
      </w:r>
      <w:r w:rsidR="00831CCB" w:rsidRPr="001735DD">
        <w:rPr>
          <w:rFonts w:cs="Calibri"/>
          <w:color w:val="202122"/>
          <w:szCs w:val="22"/>
          <w:highlight w:val="white"/>
        </w:rPr>
        <w:t xml:space="preserve"> </w:t>
      </w:r>
      <w:r w:rsidR="00C56547" w:rsidRPr="001735DD">
        <w:rPr>
          <w:rFonts w:cs="Calibri"/>
          <w:szCs w:val="22"/>
        </w:rPr>
        <w:t xml:space="preserve">has been appointed by the Fund as the </w:t>
      </w:r>
      <w:r>
        <w:rPr>
          <w:rFonts w:cs="Calibri"/>
          <w:szCs w:val="22"/>
        </w:rPr>
        <w:t>custodian</w:t>
      </w:r>
      <w:r w:rsidR="00C56547" w:rsidRPr="001735DD">
        <w:rPr>
          <w:rFonts w:cs="Calibri"/>
          <w:szCs w:val="22"/>
        </w:rPr>
        <w:t xml:space="preserve"> (the “</w:t>
      </w:r>
      <w:r>
        <w:rPr>
          <w:rFonts w:cs="Calibri"/>
          <w:b/>
          <w:bCs/>
          <w:szCs w:val="22"/>
        </w:rPr>
        <w:t>Custodian</w:t>
      </w:r>
      <w:r w:rsidR="00C56547" w:rsidRPr="001735DD">
        <w:rPr>
          <w:rFonts w:cs="Calibri"/>
          <w:szCs w:val="22"/>
        </w:rPr>
        <w:t xml:space="preserve">”) pursuant to the terms of a services agreement </w:t>
      </w:r>
      <w:proofErr w:type="gramStart"/>
      <w:r w:rsidR="00C56547" w:rsidRPr="001735DD">
        <w:rPr>
          <w:rFonts w:cs="Calibri"/>
          <w:szCs w:val="22"/>
        </w:rPr>
        <w:t>entered into</w:t>
      </w:r>
      <w:proofErr w:type="gramEnd"/>
      <w:r w:rsidR="00C56547" w:rsidRPr="001735DD">
        <w:rPr>
          <w:rFonts w:cs="Calibri"/>
          <w:szCs w:val="22"/>
        </w:rPr>
        <w:t xml:space="preserve"> (or to be entered into) between the Fund and the </w:t>
      </w:r>
      <w:r>
        <w:rPr>
          <w:rFonts w:cs="Calibri"/>
          <w:szCs w:val="22"/>
        </w:rPr>
        <w:t>Custodian</w:t>
      </w:r>
      <w:r w:rsidR="00C56547" w:rsidRPr="001735DD">
        <w:rPr>
          <w:rFonts w:cs="Calibri"/>
          <w:szCs w:val="22"/>
        </w:rPr>
        <w:t xml:space="preserve">. </w:t>
      </w:r>
    </w:p>
    <w:p w14:paraId="3FDE1BEF" w14:textId="7E7E9CF8" w:rsidR="00C56547" w:rsidRPr="001735DD" w:rsidRDefault="00831CCB" w:rsidP="00831CCB">
      <w:pPr>
        <w:pStyle w:val="Level4Number"/>
        <w:rPr>
          <w:rFonts w:cs="Calibri"/>
          <w:szCs w:val="22"/>
        </w:rPr>
      </w:pPr>
      <w:r w:rsidRPr="001735DD">
        <w:rPr>
          <w:rFonts w:cs="Calibri"/>
          <w:color w:val="202122"/>
          <w:szCs w:val="22"/>
          <w:highlight w:val="white"/>
        </w:rPr>
        <w:t xml:space="preserve">The </w:t>
      </w:r>
      <w:r w:rsidR="00F34C4A">
        <w:rPr>
          <w:rFonts w:cs="Calibri"/>
          <w:color w:val="202122"/>
          <w:szCs w:val="22"/>
          <w:highlight w:val="white"/>
        </w:rPr>
        <w:t>Custodian</w:t>
      </w:r>
      <w:r w:rsidRPr="001735DD">
        <w:rPr>
          <w:rFonts w:cs="Calibri"/>
          <w:color w:val="202122"/>
          <w:szCs w:val="22"/>
          <w:highlight w:val="white"/>
        </w:rPr>
        <w:t xml:space="preserve"> is a NASDAQ listed American </w:t>
      </w:r>
      <w:r w:rsidRPr="001735DD">
        <w:rPr>
          <w:rFonts w:cs="Calibri"/>
          <w:color w:val="000000"/>
          <w:szCs w:val="22"/>
          <w:highlight w:val="white"/>
        </w:rPr>
        <w:t>multinational </w:t>
      </w:r>
      <w:hyperlink r:id="rId17" w:history="1">
        <w:r w:rsidRPr="001735DD">
          <w:rPr>
            <w:rStyle w:val="Hyperlink"/>
            <w:rFonts w:cs="Calibri"/>
            <w:color w:val="000000"/>
            <w:szCs w:val="22"/>
            <w:highlight w:val="white"/>
            <w:u w:val="none"/>
          </w:rPr>
          <w:t>brokerage firm</w:t>
        </w:r>
      </w:hyperlink>
      <w:r w:rsidRPr="001735DD">
        <w:rPr>
          <w:rFonts w:cs="Calibri"/>
          <w:color w:val="000000"/>
          <w:szCs w:val="22"/>
          <w:highlight w:val="white"/>
        </w:rPr>
        <w:t xml:space="preserve">. </w:t>
      </w:r>
      <w:r w:rsidR="001735DD" w:rsidRPr="001735DD">
        <w:rPr>
          <w:rFonts w:cs="Calibri"/>
          <w:szCs w:val="22"/>
        </w:rPr>
        <w:t xml:space="preserve">The </w:t>
      </w:r>
      <w:r w:rsidR="00F34C4A">
        <w:rPr>
          <w:rFonts w:cs="Calibri"/>
          <w:szCs w:val="22"/>
        </w:rPr>
        <w:t>Custodian</w:t>
      </w:r>
      <w:r w:rsidR="001735DD" w:rsidRPr="001735DD">
        <w:rPr>
          <w:rFonts w:cs="Calibri"/>
          <w:szCs w:val="22"/>
        </w:rPr>
        <w:t xml:space="preserve"> is regulated by the US Securities and Exchange Commission and the Commodities Futures Trading Commission.  </w:t>
      </w:r>
      <w:r w:rsidRPr="001735DD">
        <w:rPr>
          <w:rFonts w:cs="Calibri"/>
          <w:color w:val="000000"/>
          <w:szCs w:val="22"/>
          <w:highlight w:val="white"/>
        </w:rPr>
        <w:t>It operates the largest </w:t>
      </w:r>
      <w:hyperlink r:id="rId18" w:history="1">
        <w:r w:rsidRPr="001735DD">
          <w:rPr>
            <w:rStyle w:val="Hyperlink"/>
            <w:rFonts w:cs="Calibri"/>
            <w:color w:val="000000"/>
            <w:szCs w:val="22"/>
            <w:highlight w:val="white"/>
            <w:u w:val="none"/>
          </w:rPr>
          <w:t>electronic trading platform</w:t>
        </w:r>
      </w:hyperlink>
      <w:r w:rsidRPr="001735DD">
        <w:rPr>
          <w:rFonts w:cs="Calibri"/>
          <w:color w:val="000000"/>
          <w:szCs w:val="22"/>
          <w:highlight w:val="white"/>
        </w:rPr>
        <w:t> in the United States by number of </w:t>
      </w:r>
      <w:hyperlink r:id="rId19" w:history="1">
        <w:r w:rsidRPr="001735DD">
          <w:rPr>
            <w:rStyle w:val="Hyperlink"/>
            <w:rFonts w:cs="Calibri"/>
            <w:color w:val="000000"/>
            <w:szCs w:val="22"/>
            <w:highlight w:val="white"/>
            <w:u w:val="none"/>
          </w:rPr>
          <w:t>daily average revenue trades</w:t>
        </w:r>
      </w:hyperlink>
      <w:r w:rsidRPr="001735DD">
        <w:rPr>
          <w:rFonts w:cs="Calibri"/>
          <w:color w:val="000000"/>
          <w:szCs w:val="22"/>
          <w:highlight w:val="white"/>
        </w:rPr>
        <w:t>. The company brokers </w:t>
      </w:r>
      <w:hyperlink r:id="rId20" w:history="1">
        <w:r w:rsidRPr="001735DD">
          <w:rPr>
            <w:rStyle w:val="Hyperlink"/>
            <w:rFonts w:cs="Calibri"/>
            <w:color w:val="000000"/>
            <w:szCs w:val="22"/>
            <w:highlight w:val="white"/>
            <w:u w:val="none"/>
          </w:rPr>
          <w:t>stocks</w:t>
        </w:r>
      </w:hyperlink>
      <w:r w:rsidRPr="001735DD">
        <w:rPr>
          <w:rFonts w:cs="Calibri"/>
          <w:color w:val="000000"/>
          <w:szCs w:val="22"/>
          <w:highlight w:val="white"/>
        </w:rPr>
        <w:t>, </w:t>
      </w:r>
      <w:hyperlink r:id="rId21" w:history="1">
        <w:r w:rsidRPr="001735DD">
          <w:rPr>
            <w:rStyle w:val="Hyperlink"/>
            <w:rFonts w:cs="Calibri"/>
            <w:color w:val="000000"/>
            <w:szCs w:val="22"/>
            <w:highlight w:val="white"/>
            <w:u w:val="none"/>
          </w:rPr>
          <w:t>options</w:t>
        </w:r>
      </w:hyperlink>
      <w:r w:rsidRPr="001735DD">
        <w:rPr>
          <w:rFonts w:cs="Calibri"/>
          <w:color w:val="000000"/>
          <w:szCs w:val="22"/>
          <w:highlight w:val="white"/>
        </w:rPr>
        <w:t>, </w:t>
      </w:r>
      <w:hyperlink r:id="rId22" w:history="1">
        <w:r w:rsidRPr="001735DD">
          <w:rPr>
            <w:rStyle w:val="Hyperlink"/>
            <w:rFonts w:cs="Calibri"/>
            <w:color w:val="000000"/>
            <w:szCs w:val="22"/>
            <w:highlight w:val="white"/>
            <w:u w:val="none"/>
          </w:rPr>
          <w:t>futures</w:t>
        </w:r>
      </w:hyperlink>
      <w:r w:rsidRPr="001735DD">
        <w:rPr>
          <w:rFonts w:cs="Calibri"/>
          <w:color w:val="000000"/>
          <w:szCs w:val="22"/>
          <w:highlight w:val="white"/>
        </w:rPr>
        <w:t>, </w:t>
      </w:r>
      <w:hyperlink r:id="rId23" w:history="1">
        <w:r w:rsidRPr="001735DD">
          <w:rPr>
            <w:rStyle w:val="Hyperlink"/>
            <w:rFonts w:cs="Calibri"/>
            <w:color w:val="000000"/>
            <w:szCs w:val="22"/>
            <w:highlight w:val="white"/>
            <w:u w:val="none"/>
          </w:rPr>
          <w:t>EFPs</w:t>
        </w:r>
      </w:hyperlink>
      <w:r w:rsidRPr="001735DD">
        <w:rPr>
          <w:rFonts w:cs="Calibri"/>
          <w:color w:val="000000"/>
          <w:szCs w:val="22"/>
          <w:highlight w:val="white"/>
        </w:rPr>
        <w:t>, </w:t>
      </w:r>
      <w:hyperlink r:id="rId24" w:anchor="Options_on_futures" w:history="1">
        <w:r w:rsidRPr="001735DD">
          <w:rPr>
            <w:rStyle w:val="Hyperlink"/>
            <w:rFonts w:cs="Calibri"/>
            <w:color w:val="000000"/>
            <w:szCs w:val="22"/>
            <w:highlight w:val="white"/>
            <w:u w:val="none"/>
          </w:rPr>
          <w:t>futures options</w:t>
        </w:r>
      </w:hyperlink>
      <w:r w:rsidRPr="001735DD">
        <w:rPr>
          <w:rFonts w:cs="Calibri"/>
          <w:color w:val="000000"/>
          <w:szCs w:val="22"/>
          <w:highlight w:val="white"/>
        </w:rPr>
        <w:t>, </w:t>
      </w:r>
      <w:hyperlink r:id="rId25" w:history="1">
        <w:r w:rsidRPr="001735DD">
          <w:rPr>
            <w:rStyle w:val="Hyperlink"/>
            <w:rFonts w:cs="Calibri"/>
            <w:color w:val="000000"/>
            <w:szCs w:val="22"/>
            <w:highlight w:val="white"/>
            <w:u w:val="none"/>
          </w:rPr>
          <w:t>forex</w:t>
        </w:r>
      </w:hyperlink>
      <w:r w:rsidRPr="001735DD">
        <w:rPr>
          <w:rFonts w:cs="Calibri"/>
          <w:color w:val="000000"/>
          <w:szCs w:val="22"/>
          <w:highlight w:val="white"/>
        </w:rPr>
        <w:t>, </w:t>
      </w:r>
      <w:hyperlink r:id="rId26" w:history="1">
        <w:r w:rsidRPr="001735DD">
          <w:rPr>
            <w:rStyle w:val="Hyperlink"/>
            <w:rFonts w:cs="Calibri"/>
            <w:color w:val="000000"/>
            <w:szCs w:val="22"/>
            <w:highlight w:val="white"/>
            <w:u w:val="none"/>
          </w:rPr>
          <w:t>bonds</w:t>
        </w:r>
      </w:hyperlink>
      <w:r w:rsidRPr="001735DD">
        <w:rPr>
          <w:rFonts w:cs="Calibri"/>
          <w:color w:val="000000"/>
          <w:szCs w:val="22"/>
          <w:highlight w:val="white"/>
        </w:rPr>
        <w:t>, </w:t>
      </w:r>
      <w:hyperlink r:id="rId27" w:history="1">
        <w:r w:rsidRPr="001735DD">
          <w:rPr>
            <w:rStyle w:val="Hyperlink"/>
            <w:rFonts w:cs="Calibri"/>
            <w:color w:val="000000"/>
            <w:szCs w:val="22"/>
            <w:highlight w:val="white"/>
            <w:u w:val="none"/>
          </w:rPr>
          <w:t>funds</w:t>
        </w:r>
      </w:hyperlink>
      <w:r w:rsidRPr="001735DD">
        <w:rPr>
          <w:rFonts w:cs="Calibri"/>
          <w:color w:val="000000"/>
          <w:szCs w:val="22"/>
          <w:highlight w:val="white"/>
        </w:rPr>
        <w:t>, and some </w:t>
      </w:r>
      <w:hyperlink r:id="rId28" w:history="1">
        <w:r w:rsidRPr="001735DD">
          <w:rPr>
            <w:rStyle w:val="Hyperlink"/>
            <w:rFonts w:cs="Calibri"/>
            <w:color w:val="000000"/>
            <w:szCs w:val="22"/>
            <w:highlight w:val="white"/>
            <w:u w:val="none"/>
          </w:rPr>
          <w:t>cryptocurrencies</w:t>
        </w:r>
      </w:hyperlink>
      <w:r w:rsidRPr="001735DD">
        <w:rPr>
          <w:rFonts w:cs="Calibri"/>
          <w:color w:val="000000"/>
          <w:szCs w:val="22"/>
          <w:highlight w:val="white"/>
        </w:rPr>
        <w:t>.</w:t>
      </w:r>
      <w:r w:rsidRPr="001735DD">
        <w:rPr>
          <w:rFonts w:cs="Calibri"/>
          <w:color w:val="000000"/>
          <w:szCs w:val="22"/>
        </w:rPr>
        <w:t xml:space="preserve"> It operates in 27 countries with total assets of US$128B</w:t>
      </w:r>
      <w:r w:rsidR="00C56547" w:rsidRPr="001735DD">
        <w:rPr>
          <w:rFonts w:cs="Calibri"/>
          <w:szCs w:val="22"/>
        </w:rPr>
        <w:t>.</w:t>
      </w:r>
    </w:p>
    <w:p w14:paraId="03DCD54B" w14:textId="3E39D8CD" w:rsidR="001735DD" w:rsidRPr="001735DD" w:rsidRDefault="001735DD" w:rsidP="00831CCB">
      <w:pPr>
        <w:pStyle w:val="Level4Number"/>
        <w:rPr>
          <w:rFonts w:cs="Calibri"/>
          <w:szCs w:val="22"/>
        </w:rPr>
      </w:pPr>
      <w:r w:rsidRPr="001735DD">
        <w:rPr>
          <w:rFonts w:cs="Calibri"/>
          <w:szCs w:val="22"/>
        </w:rPr>
        <w:t xml:space="preserve">The </w:t>
      </w:r>
      <w:r w:rsidR="00F34C4A">
        <w:rPr>
          <w:rFonts w:cs="Calibri"/>
          <w:szCs w:val="22"/>
        </w:rPr>
        <w:t>Custodian</w:t>
      </w:r>
      <w:r w:rsidRPr="001735DD">
        <w:rPr>
          <w:rFonts w:cs="Calibri"/>
          <w:szCs w:val="22"/>
        </w:rPr>
        <w:t xml:space="preserve"> shall provide brokerage services to the Fund, as and when instructed by the Fund Manager to purchase and sell ETFs. </w:t>
      </w:r>
      <w:r w:rsidR="00244F66">
        <w:rPr>
          <w:rFonts w:cs="Calibri"/>
          <w:szCs w:val="22"/>
        </w:rPr>
        <w:t>T</w:t>
      </w:r>
      <w:r w:rsidRPr="001735DD">
        <w:rPr>
          <w:rFonts w:cs="Calibri"/>
          <w:szCs w:val="22"/>
        </w:rPr>
        <w:t xml:space="preserve">he </w:t>
      </w:r>
      <w:r w:rsidR="00F34C4A">
        <w:rPr>
          <w:rFonts w:cs="Calibri"/>
          <w:szCs w:val="22"/>
        </w:rPr>
        <w:t>Custodian</w:t>
      </w:r>
      <w:r w:rsidRPr="001735DD">
        <w:rPr>
          <w:rFonts w:cs="Calibri"/>
          <w:szCs w:val="22"/>
        </w:rPr>
        <w:t xml:space="preserve"> is acting as broker in acquiring and disposing of ETFs (and potential US Treasury Bills directly)</w:t>
      </w:r>
      <w:r w:rsidR="00244F66">
        <w:rPr>
          <w:rFonts w:cs="Calibri"/>
          <w:szCs w:val="22"/>
        </w:rPr>
        <w:t xml:space="preserve"> and holding them as custodian for and on behalf of the Fund.  The agreement with the </w:t>
      </w:r>
      <w:r w:rsidR="00F34C4A">
        <w:rPr>
          <w:rFonts w:cs="Calibri"/>
          <w:szCs w:val="22"/>
        </w:rPr>
        <w:t>Custodian</w:t>
      </w:r>
      <w:r w:rsidR="00244F66">
        <w:rPr>
          <w:rFonts w:cs="Calibri"/>
          <w:szCs w:val="22"/>
        </w:rPr>
        <w:t xml:space="preserve"> </w:t>
      </w:r>
      <w:r w:rsidR="00244F66">
        <w:rPr>
          <w:rFonts w:cs="Calibri"/>
          <w:szCs w:val="22"/>
        </w:rPr>
        <w:lastRenderedPageBreak/>
        <w:t xml:space="preserve">sets out the ability of the </w:t>
      </w:r>
      <w:r w:rsidR="00F34C4A">
        <w:rPr>
          <w:rFonts w:cs="Calibri"/>
          <w:szCs w:val="22"/>
        </w:rPr>
        <w:t>Custodian</w:t>
      </w:r>
      <w:r w:rsidRPr="001735DD">
        <w:rPr>
          <w:rFonts w:cs="Calibri"/>
          <w:szCs w:val="22"/>
        </w:rPr>
        <w:t xml:space="preserve"> to combine the assets of the Fund with any other assets held by or available to the </w:t>
      </w:r>
      <w:r w:rsidR="00F34C4A">
        <w:rPr>
          <w:rFonts w:cs="Calibri"/>
          <w:szCs w:val="22"/>
        </w:rPr>
        <w:t>Custodian</w:t>
      </w:r>
      <w:r w:rsidRPr="001735DD">
        <w:rPr>
          <w:rFonts w:cs="Calibri"/>
          <w:szCs w:val="22"/>
        </w:rPr>
        <w:t xml:space="preserve"> as collateral for any financing activities undertaken by the </w:t>
      </w:r>
      <w:r w:rsidR="00F34C4A">
        <w:rPr>
          <w:rFonts w:cs="Calibri"/>
          <w:szCs w:val="22"/>
        </w:rPr>
        <w:t>Custodian</w:t>
      </w:r>
      <w:r w:rsidR="00244F66">
        <w:rPr>
          <w:rFonts w:cs="Calibri"/>
          <w:szCs w:val="22"/>
        </w:rPr>
        <w:t xml:space="preserve"> as well as its</w:t>
      </w:r>
      <w:r w:rsidRPr="001735DD">
        <w:rPr>
          <w:rFonts w:cs="Calibri"/>
          <w:color w:val="212121"/>
          <w:szCs w:val="22"/>
          <w:lang w:val="en-US"/>
        </w:rPr>
        <w:t xml:space="preserve"> power and authority to use as collateral the assets of the Fund in conjunction with any other assets held by or available to the </w:t>
      </w:r>
      <w:r w:rsidR="00F34C4A">
        <w:rPr>
          <w:rFonts w:cs="Calibri"/>
          <w:color w:val="212121"/>
          <w:szCs w:val="22"/>
          <w:lang w:val="en-US"/>
        </w:rPr>
        <w:t>Custodian</w:t>
      </w:r>
      <w:r w:rsidRPr="001735DD">
        <w:rPr>
          <w:rFonts w:cs="Calibri"/>
          <w:color w:val="212121"/>
          <w:szCs w:val="22"/>
          <w:lang w:val="en-US"/>
        </w:rPr>
        <w:t>.</w:t>
      </w:r>
    </w:p>
    <w:p w14:paraId="5FD95AFB" w14:textId="77777777" w:rsidR="00CB799A" w:rsidRPr="00244F66" w:rsidRDefault="00CB799A" w:rsidP="00CB799A">
      <w:pPr>
        <w:pStyle w:val="Level2Number"/>
        <w:rPr>
          <w:rFonts w:cs="Calibri"/>
          <w:b/>
          <w:bCs/>
          <w:szCs w:val="22"/>
        </w:rPr>
      </w:pPr>
      <w:r w:rsidRPr="00244F66">
        <w:rPr>
          <w:rFonts w:cs="Calibri"/>
          <w:b/>
          <w:bCs/>
          <w:szCs w:val="22"/>
        </w:rPr>
        <w:t>Liability and Indemnification</w:t>
      </w:r>
    </w:p>
    <w:p w14:paraId="30843949" w14:textId="7AEE2BF9" w:rsidR="00CB799A" w:rsidRDefault="00CB799A" w:rsidP="00CB799A">
      <w:pPr>
        <w:pStyle w:val="Level3Number"/>
      </w:pPr>
      <w:r w:rsidRPr="001735DD">
        <w:rPr>
          <w:rFonts w:cs="Calibri"/>
          <w:szCs w:val="22"/>
        </w:rPr>
        <w:t xml:space="preserve">The </w:t>
      </w:r>
      <w:r w:rsidR="00A80BEB" w:rsidRPr="001735DD">
        <w:rPr>
          <w:rFonts w:cs="Calibri"/>
          <w:szCs w:val="22"/>
        </w:rPr>
        <w:t>Fund</w:t>
      </w:r>
      <w:r w:rsidRPr="001735DD">
        <w:rPr>
          <w:rFonts w:cs="Calibri"/>
          <w:szCs w:val="22"/>
        </w:rPr>
        <w:t xml:space="preserve"> Manager</w:t>
      </w:r>
      <w:r w:rsidR="00683C9C" w:rsidRPr="001735DD">
        <w:rPr>
          <w:rFonts w:cs="Calibri"/>
          <w:szCs w:val="22"/>
        </w:rPr>
        <w:t xml:space="preserve">, </w:t>
      </w:r>
      <w:proofErr w:type="spellStart"/>
      <w:r w:rsidR="00683C9C" w:rsidRPr="001735DD">
        <w:rPr>
          <w:rFonts w:cs="Calibri"/>
          <w:szCs w:val="22"/>
        </w:rPr>
        <w:t>Tokenisor</w:t>
      </w:r>
      <w:proofErr w:type="spellEnd"/>
      <w:r w:rsidR="00683C9C" w:rsidRPr="001735DD">
        <w:rPr>
          <w:rFonts w:cs="Calibri"/>
          <w:szCs w:val="22"/>
        </w:rPr>
        <w:t>, Technical Advisor</w:t>
      </w:r>
      <w:r w:rsidRPr="001735DD">
        <w:rPr>
          <w:rFonts w:cs="Calibri"/>
          <w:szCs w:val="22"/>
        </w:rPr>
        <w:t xml:space="preserve"> and each of their respective</w:t>
      </w:r>
      <w:r>
        <w:t xml:space="preserve"> directors, officers, employees, agents, advisors, </w:t>
      </w:r>
      <w:r w:rsidR="00C54A74">
        <w:t>Affiliate</w:t>
      </w:r>
      <w:r>
        <w:t xml:space="preserve">s and personnel, and the members of the </w:t>
      </w:r>
      <w:r w:rsidR="00A80BEB">
        <w:t>Board</w:t>
      </w:r>
      <w:r>
        <w:t xml:space="preserve"> (the “</w:t>
      </w:r>
      <w:r w:rsidRPr="00A80BEB">
        <w:rPr>
          <w:b/>
          <w:bCs/>
        </w:rPr>
        <w:t>Indemnified Persons</w:t>
      </w:r>
      <w:r>
        <w:t xml:space="preserve">”) shall not be liable to the Fund or the </w:t>
      </w:r>
      <w:r w:rsidR="00A80BEB">
        <w:t>Token Holders</w:t>
      </w:r>
      <w:r>
        <w:t xml:space="preserve"> for any act or omission performed by any of them in connection with the Fund or its activities, unless such act or omission results from such person’s fraud, wilful misconduct or gross negligence.</w:t>
      </w:r>
    </w:p>
    <w:p w14:paraId="5B9660C9" w14:textId="77777777" w:rsidR="00CB799A" w:rsidRDefault="00CB799A" w:rsidP="00CB799A">
      <w:pPr>
        <w:pStyle w:val="Level3Number"/>
      </w:pPr>
      <w:r>
        <w:t>The Fund will indemnify each Indemnified Person, against any and all expenses (including legal fees), claims, costs, damages, losses (including, without limitation, from and against any judgment, settlement, legal fees and other costs or expenses incurred in connection with the defence of any action or threatened action or proceeding), or liabilities which an Indemnified Person sustains or incurs in or about their activities for and/or on behalf of the Fund, unless such action or omission results from the relevant person’s fraud, wilful misconduct or gross negligence</w:t>
      </w:r>
    </w:p>
    <w:p w14:paraId="330BF2DC" w14:textId="03A339EA" w:rsidR="00CB799A" w:rsidRPr="004126E5" w:rsidRDefault="00CB799A" w:rsidP="00CB799A">
      <w:pPr>
        <w:pStyle w:val="Level3Number"/>
      </w:pPr>
      <w:r>
        <w:t>The satisfaction of any indemnification obligation shall be from and limited to the assets of the Fund</w:t>
      </w:r>
      <w:r w:rsidRPr="004126E5">
        <w:t>.</w:t>
      </w:r>
    </w:p>
    <w:p w14:paraId="57407BC7" w14:textId="77777777" w:rsidR="00CB799A" w:rsidRDefault="00CB799A" w:rsidP="00CB799A">
      <w:pPr>
        <w:pStyle w:val="Level4Number"/>
        <w:numPr>
          <w:ilvl w:val="0"/>
          <w:numId w:val="0"/>
        </w:numPr>
        <w:ind w:left="720"/>
        <w:rPr>
          <w:rFonts w:cs="Calibri"/>
        </w:rPr>
      </w:pPr>
    </w:p>
    <w:p w14:paraId="58B47A14" w14:textId="47AADA7A" w:rsidR="00B23A6C" w:rsidRPr="00104B93" w:rsidRDefault="00B23A6C" w:rsidP="00104B93">
      <w:pPr>
        <w:pStyle w:val="Level4Number"/>
        <w:numPr>
          <w:ilvl w:val="0"/>
          <w:numId w:val="0"/>
        </w:numPr>
        <w:ind w:left="720"/>
        <w:jc w:val="center"/>
        <w:rPr>
          <w:rFonts w:cs="Calibri"/>
          <w:b/>
          <w:bCs/>
        </w:rPr>
      </w:pPr>
      <w:r w:rsidRPr="00104B93">
        <w:rPr>
          <w:rFonts w:cs="Calibri"/>
          <w:b/>
          <w:bCs/>
        </w:rPr>
        <w:t>THE ABOVE IS ONLY A BRIEF SUMMARY OF CERTAIN MATERIAL PROVISIONS OF CERTAIN OF THE MATERIAL CONTRACTS, WHICH SUMMARY IS QUALIFIED IN ITS ENTIRETY BY REFERENCE TO THE PROVISIONS OF SUCH MATERIAL CONTRACTS.</w:t>
      </w:r>
    </w:p>
    <w:p w14:paraId="1EBC3513" w14:textId="66F15BA1" w:rsidR="00A51204" w:rsidRPr="004126E5" w:rsidRDefault="00A51204" w:rsidP="00A51204">
      <w:pPr>
        <w:pStyle w:val="BodyText"/>
        <w:rPr>
          <w:rFonts w:cs="Calibri"/>
        </w:rPr>
      </w:pPr>
      <w:r w:rsidRPr="004126E5">
        <w:rPr>
          <w:rFonts w:cs="Calibri"/>
        </w:rPr>
        <w:br w:type="page"/>
      </w:r>
    </w:p>
    <w:p w14:paraId="354CCB48" w14:textId="2F442246" w:rsidR="00B23A6C" w:rsidRPr="00E7425A" w:rsidRDefault="00A80BEB" w:rsidP="007B6A5B">
      <w:pPr>
        <w:pStyle w:val="Level1Heading"/>
      </w:pPr>
      <w:bookmarkStart w:id="5" w:name="_Toc169612959"/>
      <w:r w:rsidRPr="00E7425A">
        <w:lastRenderedPageBreak/>
        <w:t>THE INVESTMENT OPPORTUNITY</w:t>
      </w:r>
      <w:bookmarkEnd w:id="5"/>
    </w:p>
    <w:p w14:paraId="36C016B8" w14:textId="77777777" w:rsidR="00A80BEB" w:rsidRDefault="00A80BEB" w:rsidP="00B23A6C">
      <w:pPr>
        <w:pStyle w:val="BodyText"/>
        <w:rPr>
          <w:rFonts w:eastAsia="Times New Roman" w:cs="Calibri"/>
          <w:color w:val="000000"/>
          <w:szCs w:val="22"/>
          <w:shd w:val="clear" w:color="auto" w:fill="FF9900"/>
        </w:rPr>
      </w:pPr>
    </w:p>
    <w:p w14:paraId="5683F728" w14:textId="26E92E5A" w:rsidR="00B2778D" w:rsidRPr="00E7425A" w:rsidRDefault="00B2778D" w:rsidP="00E7425A">
      <w:pPr>
        <w:pStyle w:val="BodyText"/>
        <w:rPr>
          <w:rFonts w:cs="Calibri"/>
        </w:rPr>
      </w:pPr>
      <w:r w:rsidRPr="00B2778D">
        <w:rPr>
          <w:rFonts w:cs="Calibri"/>
        </w:rPr>
        <w:t xml:space="preserve">The Fund aims to maximize investor capital appreciation while minimizing the risk of permanent capital loss through market cycles. </w:t>
      </w:r>
      <w:r>
        <w:rPr>
          <w:rFonts w:cs="Calibri"/>
        </w:rPr>
        <w:t xml:space="preserve"> </w:t>
      </w:r>
      <w:r w:rsidR="00E7425A" w:rsidRPr="00E7425A">
        <w:rPr>
          <w:rFonts w:cs="Calibri"/>
        </w:rPr>
        <w:t xml:space="preserve">The Fund's investment strategy is restricted to investing </w:t>
      </w:r>
      <w:r w:rsidR="00AB2D13" w:rsidRPr="00E7425A">
        <w:rPr>
          <w:rFonts w:cs="Calibri"/>
        </w:rPr>
        <w:t xml:space="preserve">in short term U.S. Treasury Notes identified by </w:t>
      </w:r>
      <w:r w:rsidR="00AB2D13">
        <w:rPr>
          <w:rFonts w:cs="Calibri"/>
        </w:rPr>
        <w:t xml:space="preserve">the </w:t>
      </w:r>
      <w:r w:rsidR="00AB2D13" w:rsidRPr="00E7425A">
        <w:rPr>
          <w:rFonts w:cs="Calibri"/>
        </w:rPr>
        <w:t>Fund Manager</w:t>
      </w:r>
      <w:r w:rsidR="00AB2D13">
        <w:rPr>
          <w:rFonts w:cs="Calibri"/>
        </w:rPr>
        <w:t xml:space="preserve">, </w:t>
      </w:r>
      <w:r w:rsidR="000A0F2C">
        <w:rPr>
          <w:rFonts w:cs="Calibri"/>
        </w:rPr>
        <w:t xml:space="preserve">directly or indirectly, </w:t>
      </w:r>
      <w:r w:rsidR="00AB2D13">
        <w:rPr>
          <w:rFonts w:cs="Calibri"/>
        </w:rPr>
        <w:t xml:space="preserve">through </w:t>
      </w:r>
      <w:r w:rsidR="00E7425A" w:rsidRPr="00E7425A">
        <w:rPr>
          <w:rFonts w:cs="Calibri"/>
        </w:rPr>
        <w:t>Treasuries Exchange Traded Funds (</w:t>
      </w:r>
      <w:r w:rsidR="00E7425A" w:rsidRPr="00E7425A">
        <w:rPr>
          <w:rFonts w:cs="Calibri"/>
          <w:b/>
          <w:bCs/>
        </w:rPr>
        <w:t>ETFs</w:t>
      </w:r>
      <w:r w:rsidR="00E7425A" w:rsidRPr="00E7425A">
        <w:rPr>
          <w:rFonts w:cs="Calibri"/>
        </w:rPr>
        <w:t xml:space="preserve">) </w:t>
      </w:r>
      <w:r w:rsidR="00AB2D13">
        <w:rPr>
          <w:rFonts w:cs="Calibri"/>
        </w:rPr>
        <w:t>or direct investment</w:t>
      </w:r>
      <w:r w:rsidR="00E7425A" w:rsidRPr="00E7425A">
        <w:rPr>
          <w:rFonts w:cs="Calibri"/>
        </w:rPr>
        <w:t xml:space="preserve">. </w:t>
      </w:r>
      <w:r w:rsidRPr="00B2778D">
        <w:rPr>
          <w:rFonts w:cs="Calibri"/>
        </w:rPr>
        <w:t xml:space="preserve">The Fund may pursue its strategy through ETFs such as BlackRock iShares, State Street SPDR and Vanguard VGSH. </w:t>
      </w:r>
      <w:r w:rsidR="00E7425A" w:rsidRPr="00E7425A">
        <w:rPr>
          <w:rFonts w:cs="Calibri"/>
        </w:rPr>
        <w:t xml:space="preserve">The ETFs will be purchased via </w:t>
      </w:r>
      <w:r w:rsidR="00E7425A">
        <w:rPr>
          <w:rFonts w:cs="Calibri"/>
        </w:rPr>
        <w:t xml:space="preserve">the </w:t>
      </w:r>
      <w:r w:rsidR="00F34C4A">
        <w:rPr>
          <w:rFonts w:cs="Calibri"/>
        </w:rPr>
        <w:t>Custodian</w:t>
      </w:r>
      <w:r w:rsidR="00E7425A" w:rsidRPr="00E7425A">
        <w:rPr>
          <w:rFonts w:cs="Calibri"/>
        </w:rPr>
        <w:t xml:space="preserve"> with a daily NAV with subscriptions and redemptions available via </w:t>
      </w:r>
      <w:r w:rsidR="00E7425A">
        <w:rPr>
          <w:rFonts w:cs="Calibri"/>
        </w:rPr>
        <w:t>the</w:t>
      </w:r>
      <w:r w:rsidR="00E7425A" w:rsidRPr="00E7425A">
        <w:rPr>
          <w:rFonts w:cs="Calibri"/>
        </w:rPr>
        <w:t xml:space="preserve"> Administrator</w:t>
      </w:r>
      <w:r w:rsidR="00E7425A">
        <w:rPr>
          <w:rFonts w:cs="Calibri"/>
        </w:rPr>
        <w:t xml:space="preserve"> in accordance with the Articles</w:t>
      </w:r>
      <w:r>
        <w:rPr>
          <w:rFonts w:cs="Calibri"/>
        </w:rPr>
        <w:t xml:space="preserve">.  </w:t>
      </w:r>
      <w:r w:rsidRPr="00B2778D">
        <w:rPr>
          <w:rFonts w:cs="Calibri"/>
        </w:rPr>
        <w:t xml:space="preserve">All distributions received by the </w:t>
      </w:r>
      <w:r w:rsidR="009D3ADB">
        <w:rPr>
          <w:rFonts w:cs="Calibri"/>
        </w:rPr>
        <w:t>Fund</w:t>
      </w:r>
      <w:r w:rsidRPr="00B2778D">
        <w:rPr>
          <w:rFonts w:cs="Calibri"/>
        </w:rPr>
        <w:t xml:space="preserve"> will be reinvested in the </w:t>
      </w:r>
      <w:r w:rsidR="009D3ADB">
        <w:rPr>
          <w:rFonts w:cs="Calibri"/>
        </w:rPr>
        <w:t>i</w:t>
      </w:r>
      <w:r w:rsidRPr="00B2778D">
        <w:rPr>
          <w:rFonts w:cs="Calibri"/>
        </w:rPr>
        <w:t xml:space="preserve">nvestment </w:t>
      </w:r>
      <w:r w:rsidR="009D3ADB">
        <w:rPr>
          <w:rFonts w:cs="Calibri"/>
        </w:rPr>
        <w:t>s</w:t>
      </w:r>
      <w:r w:rsidRPr="00B2778D">
        <w:rPr>
          <w:rFonts w:cs="Calibri"/>
        </w:rPr>
        <w:t>trategy</w:t>
      </w:r>
      <w:r w:rsidR="00492A29">
        <w:rPr>
          <w:rFonts w:cs="Calibri"/>
        </w:rPr>
        <w:t>.</w:t>
      </w:r>
    </w:p>
    <w:p w14:paraId="180C1D91" w14:textId="715A8831" w:rsidR="00E7425A" w:rsidRPr="00E7425A" w:rsidRDefault="00E7425A" w:rsidP="00E7425A">
      <w:pPr>
        <w:pStyle w:val="BodyText"/>
        <w:rPr>
          <w:rFonts w:cs="Calibri"/>
        </w:rPr>
      </w:pPr>
      <w:r w:rsidRPr="00E7425A">
        <w:rPr>
          <w:rFonts w:cs="Calibri"/>
        </w:rPr>
        <w:t>Units of the Fund will be tokenized</w:t>
      </w:r>
      <w:r>
        <w:rPr>
          <w:rFonts w:cs="Calibri"/>
        </w:rPr>
        <w:t>. T</w:t>
      </w:r>
      <w:r w:rsidRPr="00E7425A">
        <w:rPr>
          <w:rFonts w:cs="Calibri"/>
        </w:rPr>
        <w:t>okenization is the process of converting traditional assets into digital tokens that can be sold, collateralized, and traded on the blockchain. This technology brings many advantages and opportunities to investors such as:</w:t>
      </w:r>
    </w:p>
    <w:p w14:paraId="23D6F6A1" w14:textId="5B6C3383" w:rsidR="00E7425A" w:rsidRPr="00E7425A" w:rsidRDefault="00E7425A" w:rsidP="00E7425A">
      <w:pPr>
        <w:pStyle w:val="BodyText"/>
        <w:numPr>
          <w:ilvl w:val="0"/>
          <w:numId w:val="33"/>
        </w:numPr>
        <w:rPr>
          <w:rFonts w:cs="Calibri"/>
        </w:rPr>
      </w:pPr>
      <w:r w:rsidRPr="00E7425A">
        <w:rPr>
          <w:rFonts w:cs="Calibri"/>
          <w:i/>
          <w:iCs/>
        </w:rPr>
        <w:t>Efficiency</w:t>
      </w:r>
      <w:r w:rsidR="003C7E15">
        <w:rPr>
          <w:rFonts w:cs="Calibri"/>
        </w:rPr>
        <w:t>:</w:t>
      </w:r>
      <w:r w:rsidRPr="00E7425A">
        <w:rPr>
          <w:rFonts w:cs="Calibri"/>
        </w:rPr>
        <w:t xml:space="preserve"> Simplify settlements, clearing, and compliance, cutting time and reducing transfer costs.</w:t>
      </w:r>
    </w:p>
    <w:p w14:paraId="08C05140" w14:textId="5F0EF349" w:rsidR="00E7425A" w:rsidRPr="00E7425A" w:rsidRDefault="00E7425A" w:rsidP="00E7425A">
      <w:pPr>
        <w:pStyle w:val="BodyText"/>
        <w:numPr>
          <w:ilvl w:val="0"/>
          <w:numId w:val="33"/>
        </w:numPr>
        <w:rPr>
          <w:rFonts w:cs="Calibri"/>
        </w:rPr>
      </w:pPr>
      <w:r w:rsidRPr="00E7425A">
        <w:rPr>
          <w:rFonts w:cs="Calibri"/>
          <w:i/>
          <w:iCs/>
        </w:rPr>
        <w:t>Fractional ownership</w:t>
      </w:r>
      <w:r w:rsidR="003C7E15">
        <w:rPr>
          <w:rFonts w:cs="Calibri"/>
        </w:rPr>
        <w:t>:</w:t>
      </w:r>
      <w:r w:rsidRPr="00E7425A">
        <w:rPr>
          <w:rFonts w:cs="Calibri"/>
        </w:rPr>
        <w:t xml:space="preserve"> Divide assets into smaller shares, broadening investor access and diversification opportunities, fostering a more inclusive investment environment.</w:t>
      </w:r>
    </w:p>
    <w:p w14:paraId="54F9BC68" w14:textId="31DF8587" w:rsidR="00E7425A" w:rsidRPr="00E7425A" w:rsidRDefault="00E7425A" w:rsidP="00E7425A">
      <w:pPr>
        <w:pStyle w:val="BodyText"/>
        <w:numPr>
          <w:ilvl w:val="0"/>
          <w:numId w:val="33"/>
        </w:numPr>
        <w:rPr>
          <w:rFonts w:cs="Calibri"/>
        </w:rPr>
      </w:pPr>
      <w:r w:rsidRPr="00E7425A">
        <w:rPr>
          <w:rFonts w:cs="Calibri"/>
          <w:i/>
          <w:iCs/>
        </w:rPr>
        <w:t>Custody solutions</w:t>
      </w:r>
      <w:r w:rsidR="003C7E15">
        <w:rPr>
          <w:rFonts w:cs="Calibri"/>
        </w:rPr>
        <w:t>:</w:t>
      </w:r>
      <w:r w:rsidRPr="00E7425A">
        <w:rPr>
          <w:rFonts w:cs="Calibri"/>
        </w:rPr>
        <w:t xml:space="preserve"> Securely hold assets on-chain, ensuring they are protected.</w:t>
      </w:r>
    </w:p>
    <w:p w14:paraId="0BBDD42A" w14:textId="1701A682" w:rsidR="00E7425A" w:rsidRPr="00E7425A" w:rsidRDefault="00E7425A" w:rsidP="00E7425A">
      <w:pPr>
        <w:pStyle w:val="BodyText"/>
        <w:numPr>
          <w:ilvl w:val="0"/>
          <w:numId w:val="33"/>
        </w:numPr>
        <w:rPr>
          <w:rFonts w:cs="Calibri"/>
        </w:rPr>
      </w:pPr>
      <w:r w:rsidRPr="00E7425A">
        <w:rPr>
          <w:rFonts w:cs="Calibri"/>
          <w:i/>
          <w:iCs/>
        </w:rPr>
        <w:t>Asset liquidity</w:t>
      </w:r>
      <w:r w:rsidR="003C7E15">
        <w:rPr>
          <w:rFonts w:cs="Calibri"/>
        </w:rPr>
        <w:t>:</w:t>
      </w:r>
      <w:r w:rsidRPr="00E7425A">
        <w:rPr>
          <w:rFonts w:cs="Calibri"/>
        </w:rPr>
        <w:t xml:space="preserve"> Foster a more dynamic and responsive investment environment, enabling investors to capitalize on market movements and swiftly adjust their positions.</w:t>
      </w:r>
    </w:p>
    <w:p w14:paraId="54B62027" w14:textId="2C444B17" w:rsidR="00E7425A" w:rsidRPr="00E7425A" w:rsidRDefault="00E7425A" w:rsidP="00E7425A">
      <w:pPr>
        <w:pStyle w:val="BodyText"/>
        <w:numPr>
          <w:ilvl w:val="0"/>
          <w:numId w:val="33"/>
        </w:numPr>
        <w:rPr>
          <w:rFonts w:cs="Calibri"/>
        </w:rPr>
      </w:pPr>
      <w:r w:rsidRPr="00E7425A">
        <w:rPr>
          <w:rFonts w:cs="Calibri"/>
          <w:i/>
          <w:iCs/>
        </w:rPr>
        <w:t xml:space="preserve">DeFi yield </w:t>
      </w:r>
      <w:r>
        <w:rPr>
          <w:rFonts w:cs="Calibri"/>
          <w:i/>
          <w:iCs/>
        </w:rPr>
        <w:t>O</w:t>
      </w:r>
      <w:r w:rsidRPr="00E7425A">
        <w:rPr>
          <w:rFonts w:cs="Calibri"/>
          <w:i/>
          <w:iCs/>
        </w:rPr>
        <w:t>pportunities</w:t>
      </w:r>
      <w:r w:rsidR="003C7E15">
        <w:rPr>
          <w:rFonts w:cs="Calibri"/>
        </w:rPr>
        <w:t>:</w:t>
      </w:r>
      <w:r w:rsidRPr="00E7425A">
        <w:rPr>
          <w:rFonts w:cs="Calibri"/>
        </w:rPr>
        <w:t xml:space="preserve"> Open doors to decentralized finance yield strategies, allowing investors to explore innovative avenues to increase returns over and above the yield available on the underlying T Bill asset.</w:t>
      </w:r>
    </w:p>
    <w:p w14:paraId="7D7E6AE5" w14:textId="62A0D571" w:rsidR="00AA6D41" w:rsidRDefault="00AA6D41">
      <w:pPr>
        <w:spacing w:line="2" w:lineRule="auto"/>
        <w:rPr>
          <w:rFonts w:ascii="Calibri" w:hAnsi="Calibri" w:cs="Calibri"/>
          <w:b/>
          <w:i/>
          <w:iCs/>
          <w:sz w:val="24"/>
        </w:rPr>
      </w:pPr>
      <w:r>
        <w:rPr>
          <w:rFonts w:cs="Calibri"/>
          <w:i/>
          <w:iCs/>
        </w:rPr>
        <w:br w:type="page"/>
      </w:r>
    </w:p>
    <w:p w14:paraId="7BCC2D32" w14:textId="76AFBB78" w:rsidR="00783A9D" w:rsidRDefault="00783A9D">
      <w:pPr>
        <w:spacing w:line="2" w:lineRule="auto"/>
        <w:rPr>
          <w:rFonts w:ascii="Calibri" w:hAnsi="Calibri" w:cs="Calibri"/>
          <w:sz w:val="22"/>
        </w:rPr>
      </w:pPr>
    </w:p>
    <w:p w14:paraId="64E77BD4" w14:textId="665C4D02" w:rsidR="00B23A6C" w:rsidRPr="004126E5" w:rsidRDefault="00B23A6C" w:rsidP="00DF494E">
      <w:pPr>
        <w:pStyle w:val="Level1Heading"/>
      </w:pPr>
      <w:bookmarkStart w:id="6" w:name="_Toc169612960"/>
      <w:r w:rsidRPr="004126E5">
        <w:t>SUMMARY OF PRINCIPAL TERMS</w:t>
      </w:r>
      <w:bookmarkEnd w:id="6"/>
      <w:r w:rsidRPr="004126E5">
        <w:t xml:space="preserve"> </w:t>
      </w:r>
    </w:p>
    <w:p w14:paraId="22A98817" w14:textId="29B00AFC" w:rsidR="002A499D" w:rsidRDefault="00B23A6C" w:rsidP="00B23A6C">
      <w:pPr>
        <w:pStyle w:val="BodyText"/>
        <w:rPr>
          <w:rFonts w:cs="Calibri"/>
        </w:rPr>
      </w:pPr>
      <w:r w:rsidRPr="004126E5">
        <w:rPr>
          <w:rFonts w:cs="Calibri"/>
        </w:rPr>
        <w:t xml:space="preserve">The following is a summary of the terms of the Fund. This summary is, by its nature, incomplete and, therefore, is qualified in its entirety by information contained elsewhere in this Prospectus, the </w:t>
      </w:r>
      <w:r w:rsidR="00783A9D">
        <w:rPr>
          <w:rFonts w:cs="Calibri"/>
        </w:rPr>
        <w:t>Articles</w:t>
      </w:r>
      <w:r w:rsidRPr="004126E5">
        <w:rPr>
          <w:rFonts w:cs="Calibri"/>
        </w:rPr>
        <w:t xml:space="preserve"> and the </w:t>
      </w:r>
      <w:r w:rsidR="006D4C23">
        <w:rPr>
          <w:rFonts w:cs="Calibri"/>
        </w:rPr>
        <w:t>Token Purchase Agreement</w:t>
      </w:r>
      <w:r w:rsidRPr="004126E5">
        <w:rPr>
          <w:rFonts w:cs="Calibri"/>
        </w:rPr>
        <w:t xml:space="preserve">, each as may be amended and/or supplemented from time to time and each of which will be provided to each prospective investor prior to subscription. </w:t>
      </w:r>
      <w:proofErr w:type="gramStart"/>
      <w:r w:rsidRPr="004126E5">
        <w:rPr>
          <w:rFonts w:cs="Calibri"/>
        </w:rPr>
        <w:t>In the event that</w:t>
      </w:r>
      <w:proofErr w:type="gramEnd"/>
      <w:r w:rsidRPr="004126E5">
        <w:rPr>
          <w:rFonts w:cs="Calibri"/>
        </w:rPr>
        <w:t xml:space="preserve"> the description of terms in this summary of terms is inconsistent with, or contrary to, the description in, or terms of, the </w:t>
      </w:r>
      <w:r w:rsidR="00783A9D">
        <w:rPr>
          <w:rFonts w:cs="Calibri"/>
        </w:rPr>
        <w:t>Articles</w:t>
      </w:r>
      <w:r w:rsidRPr="004126E5">
        <w:rPr>
          <w:rFonts w:cs="Calibri"/>
        </w:rPr>
        <w:t xml:space="preserve"> or the </w:t>
      </w:r>
      <w:r w:rsidR="006D4C23">
        <w:rPr>
          <w:rFonts w:cs="Calibri"/>
        </w:rPr>
        <w:t>Token Purchase Agreement</w:t>
      </w:r>
      <w:r w:rsidRPr="004126E5">
        <w:rPr>
          <w:rFonts w:cs="Calibri"/>
        </w:rPr>
        <w:t xml:space="preserve">, the </w:t>
      </w:r>
      <w:r w:rsidR="00783A9D">
        <w:rPr>
          <w:rFonts w:cs="Calibri"/>
        </w:rPr>
        <w:t>provisions</w:t>
      </w:r>
      <w:r w:rsidRPr="004126E5">
        <w:rPr>
          <w:rFonts w:cs="Calibri"/>
        </w:rPr>
        <w:t xml:space="preserve"> of the </w:t>
      </w:r>
      <w:r w:rsidR="00783A9D">
        <w:rPr>
          <w:rFonts w:cs="Calibri"/>
        </w:rPr>
        <w:t>Articles</w:t>
      </w:r>
      <w:r w:rsidRPr="004126E5">
        <w:rPr>
          <w:rFonts w:cs="Calibri"/>
        </w:rPr>
        <w:t xml:space="preserve"> and the </w:t>
      </w:r>
      <w:r w:rsidR="006D4C23">
        <w:rPr>
          <w:rFonts w:cs="Calibri"/>
        </w:rPr>
        <w:t>Token Purchase Agreement</w:t>
      </w:r>
      <w:r w:rsidRPr="004126E5">
        <w:rPr>
          <w:rFonts w:cs="Calibri"/>
        </w:rPr>
        <w:t xml:space="preserve"> will prevail. The </w:t>
      </w:r>
      <w:r w:rsidR="00783A9D">
        <w:rPr>
          <w:rFonts w:cs="Calibri"/>
        </w:rPr>
        <w:t>Articles</w:t>
      </w:r>
      <w:r w:rsidRPr="004126E5">
        <w:rPr>
          <w:rFonts w:cs="Calibri"/>
        </w:rPr>
        <w:t xml:space="preserve"> and the </w:t>
      </w:r>
      <w:r w:rsidR="006D4C23">
        <w:rPr>
          <w:rFonts w:cs="Calibri"/>
        </w:rPr>
        <w:t>Token Purchase Agreement</w:t>
      </w:r>
      <w:r w:rsidRPr="004126E5">
        <w:rPr>
          <w:rFonts w:cs="Calibri"/>
        </w:rPr>
        <w:t xml:space="preserve"> should be read in their entirety by investors prior to any decision to invest in the Fund. Prospective investors should also carefully consider the information contained in this Prospectus in the Section entitled </w:t>
      </w:r>
      <w:r w:rsidR="00683C9C" w:rsidRPr="004126E5">
        <w:rPr>
          <w:rFonts w:cs="Calibri"/>
        </w:rPr>
        <w:t>“</w:t>
      </w:r>
      <w:r w:rsidR="00683C9C" w:rsidRPr="0009443E">
        <w:rPr>
          <w:rFonts w:cs="Calibri"/>
          <w:i/>
          <w:iCs/>
        </w:rPr>
        <w:t>Certain Risk Factors</w:t>
      </w:r>
      <w:r w:rsidR="00683C9C">
        <w:rPr>
          <w:rFonts w:cs="Calibri"/>
          <w:i/>
          <w:iCs/>
        </w:rPr>
        <w:t xml:space="preserve">" </w:t>
      </w:r>
      <w:r w:rsidR="00683C9C" w:rsidRPr="00B847C0">
        <w:rPr>
          <w:rFonts w:cs="Calibri"/>
        </w:rPr>
        <w:t>and</w:t>
      </w:r>
      <w:r w:rsidR="00683C9C" w:rsidRPr="0009443E">
        <w:rPr>
          <w:rFonts w:cs="Calibri"/>
          <w:i/>
          <w:iCs/>
        </w:rPr>
        <w:t xml:space="preserve"> </w:t>
      </w:r>
      <w:r w:rsidR="00683C9C">
        <w:rPr>
          <w:rFonts w:cs="Calibri"/>
          <w:i/>
          <w:iCs/>
        </w:rPr>
        <w:t>"</w:t>
      </w:r>
      <w:r w:rsidR="00683C9C" w:rsidRPr="0009443E">
        <w:rPr>
          <w:rFonts w:cs="Calibri"/>
          <w:i/>
          <w:iCs/>
        </w:rPr>
        <w:t>Potential Conflicts of Interests</w:t>
      </w:r>
      <w:r w:rsidR="00683C9C">
        <w:rPr>
          <w:rFonts w:cs="Calibri"/>
          <w:i/>
          <w:iCs/>
        </w:rPr>
        <w:t>, Certain Lega, Tokenisation, Tax and Regulatory Matters</w:t>
      </w:r>
      <w:r w:rsidR="00683C9C" w:rsidRPr="004126E5">
        <w:rPr>
          <w:rFonts w:cs="Calibri"/>
        </w:rPr>
        <w:t>”</w:t>
      </w:r>
      <w:r w:rsidRPr="004126E5">
        <w:rPr>
          <w:rFonts w:cs="Calibri"/>
        </w:rPr>
        <w:t>.</w:t>
      </w:r>
    </w:p>
    <w:tbl>
      <w:tblPr>
        <w:tblW w:w="0" w:type="auto"/>
        <w:tblLook w:val="01E0" w:firstRow="1" w:lastRow="1" w:firstColumn="1" w:lastColumn="1" w:noHBand="0" w:noVBand="0"/>
      </w:tblPr>
      <w:tblGrid>
        <w:gridCol w:w="2756"/>
        <w:gridCol w:w="6270"/>
      </w:tblGrid>
      <w:tr w:rsidR="002A499D" w:rsidRPr="00BC0C93" w14:paraId="36A218A2" w14:textId="77777777" w:rsidTr="00F86DE2">
        <w:tc>
          <w:tcPr>
            <w:tcW w:w="9026" w:type="dxa"/>
            <w:gridSpan w:val="2"/>
            <w:shd w:val="clear" w:color="auto" w:fill="D5DDE7" w:themeFill="text2" w:themeFillTint="33"/>
          </w:tcPr>
          <w:p w14:paraId="4C8F75AC" w14:textId="77777777" w:rsidR="002A499D" w:rsidRPr="002A499D" w:rsidRDefault="002A499D" w:rsidP="00F86DE2">
            <w:pPr>
              <w:rPr>
                <w:rFonts w:ascii="Calibri" w:hAnsi="Calibri" w:cs="Calibri"/>
                <w:lang w:val="en-US"/>
              </w:rPr>
            </w:pPr>
            <w:r w:rsidRPr="002A499D">
              <w:rPr>
                <w:rFonts w:ascii="Calibri" w:hAnsi="Calibri" w:cs="Calibri"/>
                <w:b/>
                <w:lang w:val="en-US"/>
              </w:rPr>
              <w:t xml:space="preserve">Structure </w:t>
            </w:r>
          </w:p>
        </w:tc>
      </w:tr>
      <w:tr w:rsidR="002A499D" w:rsidRPr="00C6107B" w14:paraId="6E3562B3" w14:textId="77777777" w:rsidTr="00F86DE2">
        <w:tc>
          <w:tcPr>
            <w:tcW w:w="2756" w:type="dxa"/>
            <w:shd w:val="clear" w:color="auto" w:fill="auto"/>
          </w:tcPr>
          <w:p w14:paraId="0397CDD4" w14:textId="77777777" w:rsidR="002A499D" w:rsidRPr="002A499D" w:rsidRDefault="002A499D" w:rsidP="00F86DE2">
            <w:pPr>
              <w:rPr>
                <w:rFonts w:ascii="Calibri" w:hAnsi="Calibri" w:cs="Calibri"/>
                <w:b/>
                <w:lang w:val="en-US"/>
              </w:rPr>
            </w:pPr>
          </w:p>
        </w:tc>
        <w:tc>
          <w:tcPr>
            <w:tcW w:w="6270" w:type="dxa"/>
            <w:shd w:val="clear" w:color="auto" w:fill="auto"/>
          </w:tcPr>
          <w:p w14:paraId="71C002B9" w14:textId="77777777" w:rsidR="002A499D" w:rsidRPr="002A499D" w:rsidRDefault="002A499D" w:rsidP="00F86DE2">
            <w:pPr>
              <w:rPr>
                <w:rFonts w:ascii="Calibri" w:hAnsi="Calibri" w:cs="Calibri"/>
                <w:lang w:val="en-US"/>
              </w:rPr>
            </w:pPr>
          </w:p>
        </w:tc>
      </w:tr>
      <w:tr w:rsidR="002A499D" w:rsidRPr="00C6107B" w14:paraId="3234B118" w14:textId="77777777" w:rsidTr="00F86DE2">
        <w:tc>
          <w:tcPr>
            <w:tcW w:w="2756" w:type="dxa"/>
            <w:shd w:val="clear" w:color="auto" w:fill="auto"/>
          </w:tcPr>
          <w:p w14:paraId="111851A9" w14:textId="77777777" w:rsidR="002A499D" w:rsidRPr="002A499D" w:rsidRDefault="002A499D" w:rsidP="00F86DE2">
            <w:pPr>
              <w:rPr>
                <w:rFonts w:ascii="Calibri" w:hAnsi="Calibri" w:cs="Calibri"/>
                <w:b/>
                <w:lang w:val="en-US"/>
              </w:rPr>
            </w:pPr>
            <w:r w:rsidRPr="002A499D">
              <w:rPr>
                <w:rFonts w:ascii="Calibri" w:hAnsi="Calibri" w:cs="Calibri"/>
                <w:b/>
                <w:lang w:val="en-US"/>
              </w:rPr>
              <w:t>Fund Structure</w:t>
            </w:r>
          </w:p>
        </w:tc>
        <w:tc>
          <w:tcPr>
            <w:tcW w:w="6270" w:type="dxa"/>
            <w:shd w:val="clear" w:color="auto" w:fill="auto"/>
          </w:tcPr>
          <w:p w14:paraId="6D0171C5" w14:textId="65B0728F" w:rsidR="002A499D" w:rsidRPr="002A499D" w:rsidRDefault="002A499D" w:rsidP="00F86DE2">
            <w:pPr>
              <w:rPr>
                <w:rFonts w:ascii="Calibri" w:hAnsi="Calibri" w:cs="Calibri"/>
                <w:lang w:val="en-US"/>
              </w:rPr>
            </w:pPr>
            <w:r w:rsidRPr="002A499D">
              <w:rPr>
                <w:rFonts w:ascii="Calibri" w:hAnsi="Calibri" w:cs="Calibri"/>
                <w:lang w:val="en-US"/>
              </w:rPr>
              <w:t xml:space="preserve">Realize </w:t>
            </w:r>
            <w:r w:rsidR="00492A29">
              <w:rPr>
                <w:rFonts w:ascii="Calibri" w:hAnsi="Calibri" w:cs="Calibri"/>
                <w:lang w:val="en-US"/>
              </w:rPr>
              <w:t>T-BILLS Fund</w:t>
            </w:r>
            <w:r w:rsidRPr="002A499D">
              <w:rPr>
                <w:rFonts w:ascii="Calibri" w:hAnsi="Calibri" w:cs="Calibri"/>
                <w:lang w:val="en-US"/>
              </w:rPr>
              <w:t xml:space="preserve"> (OEIC) Limited (the </w:t>
            </w:r>
            <w:r w:rsidRPr="002A499D">
              <w:rPr>
                <w:rFonts w:ascii="Calibri" w:hAnsi="Calibri" w:cs="Calibri"/>
                <w:b/>
                <w:bCs/>
                <w:lang w:val="en-US"/>
              </w:rPr>
              <w:t>Fund</w:t>
            </w:r>
            <w:r w:rsidRPr="002A499D">
              <w:rPr>
                <w:rFonts w:ascii="Calibri" w:hAnsi="Calibri" w:cs="Calibri"/>
                <w:lang w:val="en-US"/>
              </w:rPr>
              <w:t>) is domiciled in the Abu Dhabi Global Market (</w:t>
            </w:r>
            <w:r w:rsidRPr="002A499D">
              <w:rPr>
                <w:rFonts w:ascii="Calibri" w:hAnsi="Calibri" w:cs="Calibri"/>
                <w:b/>
                <w:bCs/>
                <w:lang w:val="en-US"/>
              </w:rPr>
              <w:t>ADGM</w:t>
            </w:r>
            <w:r w:rsidRPr="002A499D">
              <w:rPr>
                <w:rFonts w:ascii="Calibri" w:hAnsi="Calibri" w:cs="Calibri"/>
                <w:lang w:val="en-US"/>
              </w:rPr>
              <w:t xml:space="preserve">) and incorporated as a private company limited by shares registered as an investment company. </w:t>
            </w:r>
          </w:p>
          <w:p w14:paraId="6B76874D" w14:textId="77777777" w:rsidR="002A499D" w:rsidRPr="002A499D" w:rsidRDefault="002A499D" w:rsidP="00F86DE2">
            <w:pPr>
              <w:rPr>
                <w:rFonts w:ascii="Calibri" w:hAnsi="Calibri" w:cs="Calibri"/>
                <w:lang w:val="en-US"/>
              </w:rPr>
            </w:pPr>
          </w:p>
          <w:p w14:paraId="3D31952D" w14:textId="77777777" w:rsidR="002A499D" w:rsidRPr="002A499D" w:rsidRDefault="002A499D" w:rsidP="00F86DE2">
            <w:pPr>
              <w:rPr>
                <w:rFonts w:ascii="Calibri" w:hAnsi="Calibri" w:cs="Calibri"/>
                <w:lang w:val="en-US"/>
              </w:rPr>
            </w:pPr>
            <w:r w:rsidRPr="002A499D">
              <w:rPr>
                <w:rFonts w:ascii="Calibri" w:hAnsi="Calibri" w:cs="Calibri"/>
                <w:lang w:val="en-US"/>
              </w:rPr>
              <w:t xml:space="preserve">The Fund is comprised of a single class of ordinary shares held by the Fund Manager.  Interest and rights in the Fund shall be </w:t>
            </w:r>
            <w:proofErr w:type="spellStart"/>
            <w:r w:rsidRPr="002A499D">
              <w:rPr>
                <w:rFonts w:ascii="Calibri" w:hAnsi="Calibri" w:cs="Calibri"/>
                <w:lang w:val="en-US"/>
              </w:rPr>
              <w:t>tokenised</w:t>
            </w:r>
            <w:proofErr w:type="spellEnd"/>
            <w:r w:rsidRPr="002A499D">
              <w:rPr>
                <w:rFonts w:ascii="Calibri" w:hAnsi="Calibri" w:cs="Calibri"/>
                <w:lang w:val="en-US"/>
              </w:rPr>
              <w:t>.</w:t>
            </w:r>
          </w:p>
        </w:tc>
      </w:tr>
      <w:tr w:rsidR="002A499D" w:rsidRPr="00C6107B" w14:paraId="004083A5" w14:textId="77777777" w:rsidTr="00F86DE2">
        <w:tc>
          <w:tcPr>
            <w:tcW w:w="2756" w:type="dxa"/>
            <w:shd w:val="clear" w:color="auto" w:fill="auto"/>
          </w:tcPr>
          <w:p w14:paraId="2A7AC614" w14:textId="77777777" w:rsidR="002A499D" w:rsidRPr="002A499D" w:rsidRDefault="002A499D" w:rsidP="00F86DE2">
            <w:pPr>
              <w:rPr>
                <w:rFonts w:ascii="Calibri" w:hAnsi="Calibri" w:cs="Calibri"/>
                <w:b/>
                <w:lang w:val="en-US"/>
              </w:rPr>
            </w:pPr>
          </w:p>
        </w:tc>
        <w:tc>
          <w:tcPr>
            <w:tcW w:w="6270" w:type="dxa"/>
            <w:shd w:val="clear" w:color="auto" w:fill="auto"/>
          </w:tcPr>
          <w:p w14:paraId="430DB75F" w14:textId="77777777" w:rsidR="002A499D" w:rsidRPr="002A499D" w:rsidRDefault="002A499D" w:rsidP="00F86DE2">
            <w:pPr>
              <w:rPr>
                <w:rFonts w:ascii="Calibri" w:hAnsi="Calibri" w:cs="Calibri"/>
                <w:lang w:val="en-US"/>
              </w:rPr>
            </w:pPr>
          </w:p>
        </w:tc>
      </w:tr>
      <w:tr w:rsidR="002A499D" w:rsidRPr="00C6107B" w14:paraId="729F1BA3" w14:textId="77777777" w:rsidTr="00F86DE2">
        <w:tc>
          <w:tcPr>
            <w:tcW w:w="2756" w:type="dxa"/>
            <w:shd w:val="clear" w:color="auto" w:fill="auto"/>
          </w:tcPr>
          <w:p w14:paraId="4606F309" w14:textId="77777777" w:rsidR="002A499D" w:rsidRPr="002A499D" w:rsidRDefault="002A499D" w:rsidP="00F86DE2">
            <w:pPr>
              <w:rPr>
                <w:rFonts w:ascii="Calibri" w:hAnsi="Calibri" w:cs="Calibri"/>
                <w:b/>
                <w:lang w:val="en-US"/>
              </w:rPr>
            </w:pPr>
            <w:bookmarkStart w:id="7" w:name="_DV_M174"/>
            <w:bookmarkEnd w:id="7"/>
            <w:r w:rsidRPr="002A499D">
              <w:rPr>
                <w:rFonts w:ascii="Calibri" w:hAnsi="Calibri" w:cs="Calibri"/>
                <w:b/>
                <w:lang w:val="en-US"/>
              </w:rPr>
              <w:t>The Tokens</w:t>
            </w:r>
          </w:p>
        </w:tc>
        <w:tc>
          <w:tcPr>
            <w:tcW w:w="6270" w:type="dxa"/>
            <w:shd w:val="clear" w:color="auto" w:fill="auto"/>
          </w:tcPr>
          <w:p w14:paraId="13A66C8D" w14:textId="77777777" w:rsidR="002A499D" w:rsidRPr="002A499D" w:rsidRDefault="002A499D" w:rsidP="00F86DE2">
            <w:pPr>
              <w:rPr>
                <w:rFonts w:ascii="Calibri" w:hAnsi="Calibri" w:cs="Calibri"/>
                <w:lang w:val="en-US"/>
              </w:rPr>
            </w:pPr>
            <w:r w:rsidRPr="002A499D">
              <w:rPr>
                <w:rFonts w:ascii="Calibri" w:hAnsi="Calibri" w:cs="Calibri"/>
                <w:lang w:val="en-US"/>
              </w:rPr>
              <w:t xml:space="preserve">The Fund shall issue tokens to investors representing an interest in the Fund (the </w:t>
            </w:r>
            <w:r w:rsidRPr="002A499D">
              <w:rPr>
                <w:rFonts w:ascii="Calibri" w:hAnsi="Calibri" w:cs="Calibri"/>
                <w:b/>
                <w:bCs/>
                <w:lang w:val="en-US"/>
              </w:rPr>
              <w:t>Tokens</w:t>
            </w:r>
            <w:r w:rsidRPr="002A499D">
              <w:rPr>
                <w:rFonts w:ascii="Calibri" w:hAnsi="Calibri" w:cs="Calibri"/>
                <w:lang w:val="en-US"/>
              </w:rPr>
              <w:t>), akin to a Unit.  Holders of Tokens (</w:t>
            </w:r>
            <w:r w:rsidRPr="002A499D">
              <w:rPr>
                <w:rFonts w:ascii="Calibri" w:hAnsi="Calibri" w:cs="Calibri"/>
                <w:b/>
                <w:bCs/>
                <w:lang w:val="en-US"/>
              </w:rPr>
              <w:t>Token Holders</w:t>
            </w:r>
            <w:r w:rsidRPr="002A499D">
              <w:rPr>
                <w:rFonts w:ascii="Calibri" w:hAnsi="Calibri" w:cs="Calibri"/>
                <w:lang w:val="en-US"/>
              </w:rPr>
              <w:t xml:space="preserve">) are afforded an indirect interest in the Fund, with the various rights set forth herein and in the Prospectus. </w:t>
            </w:r>
            <w:bookmarkStart w:id="8" w:name="_DV_M176"/>
            <w:bookmarkStart w:id="9" w:name="_DV_M177"/>
            <w:bookmarkStart w:id="10" w:name="_DV_M180"/>
            <w:bookmarkEnd w:id="8"/>
            <w:bookmarkEnd w:id="9"/>
            <w:bookmarkEnd w:id="10"/>
          </w:p>
        </w:tc>
      </w:tr>
      <w:tr w:rsidR="002A499D" w:rsidRPr="00C6107B" w14:paraId="23FF617D" w14:textId="77777777" w:rsidTr="00F86DE2">
        <w:tc>
          <w:tcPr>
            <w:tcW w:w="2756" w:type="dxa"/>
            <w:shd w:val="clear" w:color="auto" w:fill="auto"/>
          </w:tcPr>
          <w:p w14:paraId="2A9467DD" w14:textId="77777777" w:rsidR="002A499D" w:rsidRPr="002A499D" w:rsidRDefault="002A499D" w:rsidP="00F86DE2">
            <w:pPr>
              <w:rPr>
                <w:rFonts w:ascii="Calibri" w:hAnsi="Calibri" w:cs="Calibri"/>
                <w:b/>
                <w:lang w:val="en-US"/>
              </w:rPr>
            </w:pPr>
          </w:p>
        </w:tc>
        <w:tc>
          <w:tcPr>
            <w:tcW w:w="6270" w:type="dxa"/>
            <w:shd w:val="clear" w:color="auto" w:fill="auto"/>
          </w:tcPr>
          <w:p w14:paraId="1A615B7C" w14:textId="77777777" w:rsidR="002A499D" w:rsidRPr="002A499D" w:rsidRDefault="002A499D" w:rsidP="00F86DE2">
            <w:pPr>
              <w:rPr>
                <w:rFonts w:ascii="Calibri" w:hAnsi="Calibri" w:cs="Calibri"/>
                <w:lang w:val="en-US"/>
              </w:rPr>
            </w:pPr>
          </w:p>
        </w:tc>
      </w:tr>
      <w:tr w:rsidR="002A499D" w:rsidRPr="00C6107B" w14:paraId="553B269D" w14:textId="77777777" w:rsidTr="00F86DE2">
        <w:tc>
          <w:tcPr>
            <w:tcW w:w="2756" w:type="dxa"/>
            <w:shd w:val="clear" w:color="auto" w:fill="auto"/>
          </w:tcPr>
          <w:p w14:paraId="174BD027" w14:textId="77777777" w:rsidR="002A499D" w:rsidRPr="002A499D" w:rsidRDefault="002A499D" w:rsidP="00F86DE2">
            <w:pPr>
              <w:rPr>
                <w:rFonts w:ascii="Calibri" w:hAnsi="Calibri" w:cs="Calibri"/>
                <w:b/>
                <w:lang w:val="en-US"/>
              </w:rPr>
            </w:pPr>
            <w:r w:rsidRPr="002A499D">
              <w:rPr>
                <w:rFonts w:ascii="Calibri" w:hAnsi="Calibri" w:cs="Calibri"/>
                <w:b/>
                <w:lang w:val="en-US"/>
              </w:rPr>
              <w:t>Target First Closing</w:t>
            </w:r>
          </w:p>
        </w:tc>
        <w:tc>
          <w:tcPr>
            <w:tcW w:w="6270" w:type="dxa"/>
            <w:shd w:val="clear" w:color="auto" w:fill="auto"/>
          </w:tcPr>
          <w:p w14:paraId="527D368B" w14:textId="77777777" w:rsidR="002A499D" w:rsidRPr="002A499D" w:rsidRDefault="002A499D" w:rsidP="00F86DE2">
            <w:pPr>
              <w:rPr>
                <w:rFonts w:ascii="Calibri" w:hAnsi="Calibri" w:cs="Calibri"/>
                <w:lang w:val="en-US"/>
              </w:rPr>
            </w:pPr>
            <w:r w:rsidRPr="002A499D">
              <w:rPr>
                <w:rFonts w:ascii="Calibri" w:hAnsi="Calibri" w:cs="Calibri"/>
                <w:lang w:val="en-US"/>
              </w:rPr>
              <w:t>The Fund is targeting an initial first closing at US$100,000,000.</w:t>
            </w:r>
          </w:p>
          <w:p w14:paraId="28A24C30" w14:textId="77777777" w:rsidR="002A499D" w:rsidRPr="002A499D" w:rsidRDefault="002A499D" w:rsidP="00F86DE2">
            <w:pPr>
              <w:rPr>
                <w:rFonts w:ascii="Calibri" w:hAnsi="Calibri" w:cs="Calibri"/>
                <w:lang w:val="en-US"/>
              </w:rPr>
            </w:pPr>
          </w:p>
          <w:p w14:paraId="7551912B" w14:textId="77777777" w:rsidR="002A499D" w:rsidRPr="002A499D" w:rsidRDefault="002A499D" w:rsidP="00F86DE2">
            <w:pPr>
              <w:rPr>
                <w:rFonts w:ascii="Calibri" w:hAnsi="Calibri" w:cs="Calibri"/>
                <w:lang w:val="en-US"/>
              </w:rPr>
            </w:pPr>
            <w:r w:rsidRPr="002A499D">
              <w:rPr>
                <w:rFonts w:ascii="Calibri" w:hAnsi="Calibri" w:cs="Calibri"/>
                <w:lang w:val="en-US"/>
              </w:rPr>
              <w:t xml:space="preserve">The Fund is entitled to issue new Tokens at any time following first closing, as set out further herein. </w:t>
            </w:r>
          </w:p>
        </w:tc>
      </w:tr>
      <w:tr w:rsidR="002A499D" w:rsidRPr="00C6107B" w14:paraId="4199ACB3" w14:textId="77777777" w:rsidTr="00F86DE2">
        <w:tc>
          <w:tcPr>
            <w:tcW w:w="2756" w:type="dxa"/>
            <w:shd w:val="clear" w:color="auto" w:fill="auto"/>
          </w:tcPr>
          <w:p w14:paraId="594548F3" w14:textId="77777777" w:rsidR="002A499D" w:rsidRPr="002A499D" w:rsidRDefault="002A499D" w:rsidP="00F86DE2">
            <w:pPr>
              <w:rPr>
                <w:rFonts w:ascii="Calibri" w:hAnsi="Calibri" w:cs="Calibri"/>
                <w:b/>
                <w:lang w:val="en-US"/>
              </w:rPr>
            </w:pPr>
          </w:p>
        </w:tc>
        <w:tc>
          <w:tcPr>
            <w:tcW w:w="6270" w:type="dxa"/>
            <w:shd w:val="clear" w:color="auto" w:fill="auto"/>
          </w:tcPr>
          <w:p w14:paraId="520C6C0A" w14:textId="77777777" w:rsidR="002A499D" w:rsidRPr="002A499D" w:rsidRDefault="002A499D" w:rsidP="00F86DE2">
            <w:pPr>
              <w:rPr>
                <w:rFonts w:ascii="Calibri" w:hAnsi="Calibri" w:cs="Calibri"/>
                <w:lang w:val="en-US"/>
              </w:rPr>
            </w:pPr>
          </w:p>
        </w:tc>
      </w:tr>
      <w:tr w:rsidR="002A499D" w:rsidRPr="00C6107B" w14:paraId="7817CDD1" w14:textId="77777777" w:rsidTr="00F86DE2">
        <w:tc>
          <w:tcPr>
            <w:tcW w:w="2756" w:type="dxa"/>
            <w:shd w:val="clear" w:color="auto" w:fill="auto"/>
          </w:tcPr>
          <w:p w14:paraId="3F832C8A" w14:textId="77777777" w:rsidR="002A499D" w:rsidRPr="002A499D" w:rsidRDefault="002A499D" w:rsidP="00F86DE2">
            <w:pPr>
              <w:rPr>
                <w:rFonts w:ascii="Calibri" w:hAnsi="Calibri" w:cs="Calibri"/>
                <w:b/>
                <w:lang w:val="en-US"/>
              </w:rPr>
            </w:pPr>
            <w:r w:rsidRPr="002A499D">
              <w:rPr>
                <w:rFonts w:ascii="Calibri" w:hAnsi="Calibri" w:cs="Calibri"/>
                <w:b/>
                <w:lang w:val="en-US"/>
              </w:rPr>
              <w:t>Investment Strategy</w:t>
            </w:r>
          </w:p>
        </w:tc>
        <w:tc>
          <w:tcPr>
            <w:tcW w:w="6270" w:type="dxa"/>
            <w:shd w:val="clear" w:color="auto" w:fill="auto"/>
          </w:tcPr>
          <w:p w14:paraId="265077FC" w14:textId="77777777" w:rsidR="002A499D" w:rsidRPr="00ED00F3" w:rsidRDefault="002A499D" w:rsidP="00F86DE2">
            <w:pPr>
              <w:rPr>
                <w:rFonts w:ascii="Calibri" w:hAnsi="Calibri" w:cs="Calibri"/>
                <w:lang w:val="en-US"/>
              </w:rPr>
            </w:pPr>
            <w:r w:rsidRPr="00ED00F3">
              <w:rPr>
                <w:rFonts w:ascii="Calibri" w:hAnsi="Calibri" w:cs="Calibri"/>
                <w:lang w:val="en-US"/>
              </w:rPr>
              <w:t xml:space="preserve">The Fund will invest exclusively in U.S. Treasury Notes] (the </w:t>
            </w:r>
            <w:r w:rsidRPr="00ED00F3">
              <w:rPr>
                <w:rFonts w:ascii="Calibri" w:hAnsi="Calibri" w:cs="Calibri"/>
                <w:b/>
                <w:bCs/>
                <w:lang w:val="en-US"/>
              </w:rPr>
              <w:t>ETFs</w:t>
            </w:r>
            <w:r w:rsidRPr="00ED00F3">
              <w:rPr>
                <w:rFonts w:ascii="Calibri" w:hAnsi="Calibri" w:cs="Calibri"/>
                <w:lang w:val="en-US"/>
              </w:rPr>
              <w:t xml:space="preserve">), initially directly through Treasuries Exchange Traded Funds and in the future potentially directly.  </w:t>
            </w:r>
          </w:p>
        </w:tc>
      </w:tr>
      <w:tr w:rsidR="002A499D" w:rsidRPr="00C6107B" w14:paraId="7C4580D0" w14:textId="77777777" w:rsidTr="00F86DE2">
        <w:tc>
          <w:tcPr>
            <w:tcW w:w="2756" w:type="dxa"/>
            <w:shd w:val="clear" w:color="auto" w:fill="auto"/>
          </w:tcPr>
          <w:p w14:paraId="443FD1DF" w14:textId="77777777" w:rsidR="002A499D" w:rsidRPr="002A499D" w:rsidRDefault="002A499D" w:rsidP="00F86DE2">
            <w:pPr>
              <w:rPr>
                <w:rFonts w:ascii="Calibri" w:hAnsi="Calibri" w:cs="Calibri"/>
                <w:b/>
                <w:lang w:val="en-US"/>
              </w:rPr>
            </w:pPr>
          </w:p>
        </w:tc>
        <w:tc>
          <w:tcPr>
            <w:tcW w:w="6270" w:type="dxa"/>
            <w:shd w:val="clear" w:color="auto" w:fill="auto"/>
          </w:tcPr>
          <w:p w14:paraId="5F633718" w14:textId="77777777" w:rsidR="002A499D" w:rsidRPr="00ED00F3" w:rsidRDefault="002A499D" w:rsidP="00F86DE2">
            <w:pPr>
              <w:rPr>
                <w:rFonts w:ascii="Calibri" w:hAnsi="Calibri" w:cs="Calibri"/>
                <w:color w:val="000000"/>
              </w:rPr>
            </w:pPr>
          </w:p>
        </w:tc>
      </w:tr>
      <w:tr w:rsidR="002A499D" w:rsidRPr="00C6107B" w14:paraId="519C7B60" w14:textId="77777777" w:rsidTr="00F86DE2">
        <w:tc>
          <w:tcPr>
            <w:tcW w:w="2756" w:type="dxa"/>
            <w:shd w:val="clear" w:color="auto" w:fill="auto"/>
          </w:tcPr>
          <w:p w14:paraId="116B9763" w14:textId="77777777" w:rsidR="002A499D" w:rsidRPr="002A499D" w:rsidRDefault="002A499D" w:rsidP="00F86DE2">
            <w:pPr>
              <w:rPr>
                <w:rFonts w:ascii="Calibri" w:hAnsi="Calibri" w:cs="Calibri"/>
                <w:b/>
                <w:lang w:val="en-US"/>
              </w:rPr>
            </w:pPr>
            <w:r w:rsidRPr="002A499D">
              <w:rPr>
                <w:rFonts w:ascii="Calibri" w:hAnsi="Calibri" w:cs="Calibri"/>
                <w:b/>
                <w:lang w:val="en-US"/>
              </w:rPr>
              <w:t>Term</w:t>
            </w:r>
          </w:p>
        </w:tc>
        <w:tc>
          <w:tcPr>
            <w:tcW w:w="6270" w:type="dxa"/>
            <w:shd w:val="clear" w:color="auto" w:fill="auto"/>
          </w:tcPr>
          <w:p w14:paraId="679B7320" w14:textId="77777777" w:rsidR="002A499D" w:rsidRPr="00ED00F3" w:rsidRDefault="002A499D" w:rsidP="00F86DE2">
            <w:pPr>
              <w:rPr>
                <w:rFonts w:ascii="Calibri" w:hAnsi="Calibri" w:cs="Calibri"/>
              </w:rPr>
            </w:pPr>
            <w:r w:rsidRPr="00ED00F3">
              <w:rPr>
                <w:rFonts w:ascii="Calibri" w:hAnsi="Calibri" w:cs="Calibri"/>
              </w:rPr>
              <w:t xml:space="preserve">Indefinite. </w:t>
            </w:r>
          </w:p>
        </w:tc>
      </w:tr>
      <w:tr w:rsidR="002A499D" w:rsidRPr="00C6107B" w14:paraId="2D5FAA47" w14:textId="77777777" w:rsidTr="00F86DE2">
        <w:tc>
          <w:tcPr>
            <w:tcW w:w="2756" w:type="dxa"/>
            <w:shd w:val="clear" w:color="auto" w:fill="auto"/>
          </w:tcPr>
          <w:p w14:paraId="7B35E92A" w14:textId="77777777" w:rsidR="002A499D" w:rsidRPr="002A499D" w:rsidRDefault="002A499D" w:rsidP="00F86DE2">
            <w:pPr>
              <w:rPr>
                <w:rFonts w:ascii="Calibri" w:hAnsi="Calibri" w:cs="Calibri"/>
                <w:b/>
                <w:lang w:val="en-US"/>
              </w:rPr>
            </w:pPr>
          </w:p>
        </w:tc>
        <w:tc>
          <w:tcPr>
            <w:tcW w:w="6270" w:type="dxa"/>
            <w:shd w:val="clear" w:color="auto" w:fill="auto"/>
          </w:tcPr>
          <w:p w14:paraId="5E3EE18C" w14:textId="77777777" w:rsidR="002A499D" w:rsidRPr="00ED00F3" w:rsidRDefault="002A499D" w:rsidP="00F86DE2">
            <w:pPr>
              <w:rPr>
                <w:rFonts w:ascii="Calibri" w:hAnsi="Calibri" w:cs="Calibri"/>
                <w:lang w:val="en-US"/>
              </w:rPr>
            </w:pPr>
          </w:p>
        </w:tc>
      </w:tr>
      <w:tr w:rsidR="002A499D" w:rsidRPr="00C6107B" w14:paraId="172EAE9B" w14:textId="77777777" w:rsidTr="00F86DE2">
        <w:tc>
          <w:tcPr>
            <w:tcW w:w="2756" w:type="dxa"/>
            <w:shd w:val="clear" w:color="auto" w:fill="auto"/>
          </w:tcPr>
          <w:p w14:paraId="4A142748" w14:textId="77777777" w:rsidR="002A499D" w:rsidRPr="002A499D" w:rsidRDefault="002A499D" w:rsidP="00F86DE2">
            <w:pPr>
              <w:rPr>
                <w:rFonts w:ascii="Calibri" w:hAnsi="Calibri" w:cs="Calibri"/>
                <w:b/>
                <w:lang w:val="en-US"/>
              </w:rPr>
            </w:pPr>
            <w:r w:rsidRPr="002A499D">
              <w:rPr>
                <w:rFonts w:ascii="Calibri" w:hAnsi="Calibri" w:cs="Calibri"/>
                <w:b/>
                <w:lang w:val="en-US"/>
              </w:rPr>
              <w:t xml:space="preserve">Leverage </w:t>
            </w:r>
          </w:p>
        </w:tc>
        <w:tc>
          <w:tcPr>
            <w:tcW w:w="6270" w:type="dxa"/>
            <w:shd w:val="clear" w:color="auto" w:fill="auto"/>
          </w:tcPr>
          <w:p w14:paraId="0233C58F" w14:textId="77777777" w:rsidR="002A499D" w:rsidRPr="00ED00F3" w:rsidRDefault="002A499D" w:rsidP="00F86DE2">
            <w:pPr>
              <w:rPr>
                <w:rFonts w:ascii="Calibri" w:hAnsi="Calibri" w:cs="Calibri"/>
              </w:rPr>
            </w:pPr>
            <w:r w:rsidRPr="00ED00F3">
              <w:rPr>
                <w:rFonts w:ascii="Calibri" w:hAnsi="Calibri" w:cs="Calibri"/>
              </w:rPr>
              <w:t>None</w:t>
            </w:r>
          </w:p>
        </w:tc>
      </w:tr>
      <w:tr w:rsidR="002A499D" w:rsidRPr="00C6107B" w14:paraId="4C915DC2" w14:textId="77777777" w:rsidTr="00F86DE2">
        <w:tc>
          <w:tcPr>
            <w:tcW w:w="2756" w:type="dxa"/>
            <w:shd w:val="clear" w:color="auto" w:fill="auto"/>
          </w:tcPr>
          <w:p w14:paraId="74ED37DD" w14:textId="77777777" w:rsidR="002A499D" w:rsidRPr="002A499D" w:rsidRDefault="002A499D" w:rsidP="00F86DE2">
            <w:pPr>
              <w:rPr>
                <w:rFonts w:ascii="Calibri" w:hAnsi="Calibri" w:cs="Calibri"/>
                <w:b/>
                <w:lang w:val="en-US"/>
              </w:rPr>
            </w:pPr>
          </w:p>
        </w:tc>
        <w:tc>
          <w:tcPr>
            <w:tcW w:w="6270" w:type="dxa"/>
            <w:shd w:val="clear" w:color="auto" w:fill="auto"/>
          </w:tcPr>
          <w:p w14:paraId="4B851C09" w14:textId="77777777" w:rsidR="002A499D" w:rsidRPr="00ED00F3" w:rsidRDefault="002A499D" w:rsidP="00F86DE2">
            <w:pPr>
              <w:rPr>
                <w:rFonts w:ascii="Calibri" w:hAnsi="Calibri" w:cs="Calibri"/>
              </w:rPr>
            </w:pPr>
          </w:p>
        </w:tc>
      </w:tr>
      <w:tr w:rsidR="002A499D" w:rsidRPr="00C6107B" w14:paraId="60085392" w14:textId="77777777" w:rsidTr="00F86DE2">
        <w:tc>
          <w:tcPr>
            <w:tcW w:w="2756" w:type="dxa"/>
            <w:shd w:val="clear" w:color="auto" w:fill="auto"/>
          </w:tcPr>
          <w:p w14:paraId="7FC6C92B" w14:textId="77777777" w:rsidR="002A499D" w:rsidRPr="002A499D" w:rsidRDefault="002A499D" w:rsidP="00F86DE2">
            <w:pPr>
              <w:rPr>
                <w:rFonts w:ascii="Calibri" w:hAnsi="Calibri" w:cs="Calibri"/>
                <w:b/>
                <w:lang w:val="en-US"/>
              </w:rPr>
            </w:pPr>
            <w:r w:rsidRPr="002A499D">
              <w:rPr>
                <w:rFonts w:ascii="Calibri" w:hAnsi="Calibri" w:cs="Calibri"/>
                <w:b/>
                <w:lang w:val="en-US"/>
              </w:rPr>
              <w:t>Fund Manager</w:t>
            </w:r>
          </w:p>
        </w:tc>
        <w:tc>
          <w:tcPr>
            <w:tcW w:w="6270" w:type="dxa"/>
            <w:shd w:val="clear" w:color="auto" w:fill="auto"/>
          </w:tcPr>
          <w:p w14:paraId="082073D4" w14:textId="77777777" w:rsidR="002A499D" w:rsidRPr="00ED00F3" w:rsidRDefault="002A499D" w:rsidP="00F86DE2">
            <w:pPr>
              <w:rPr>
                <w:rFonts w:ascii="Calibri" w:hAnsi="Calibri" w:cs="Calibri"/>
              </w:rPr>
            </w:pPr>
            <w:proofErr w:type="spellStart"/>
            <w:r w:rsidRPr="00ED00F3">
              <w:rPr>
                <w:rFonts w:ascii="Calibri" w:hAnsi="Calibri" w:cs="Calibri"/>
              </w:rPr>
              <w:t>Neovision</w:t>
            </w:r>
            <w:proofErr w:type="spellEnd"/>
            <w:r w:rsidRPr="00ED00F3">
              <w:rPr>
                <w:rFonts w:ascii="Calibri" w:hAnsi="Calibri" w:cs="Calibri"/>
              </w:rPr>
              <w:t xml:space="preserve"> Wealth Management Limited, a private company limited by shares incorporated under the laws of the ADGM, with registered number 7884, regulated by the ADGM Financial Services Regulatory Authority, and with its registered address at Office 6, 6th Floor, Al </w:t>
            </w:r>
            <w:proofErr w:type="spellStart"/>
            <w:r w:rsidRPr="00ED00F3">
              <w:rPr>
                <w:rFonts w:ascii="Calibri" w:hAnsi="Calibri" w:cs="Calibri"/>
              </w:rPr>
              <w:t>Khatem</w:t>
            </w:r>
            <w:proofErr w:type="spellEnd"/>
            <w:r w:rsidRPr="00ED00F3">
              <w:rPr>
                <w:rFonts w:ascii="Calibri" w:hAnsi="Calibri" w:cs="Calibri"/>
              </w:rPr>
              <w:t xml:space="preserve"> Tower, </w:t>
            </w:r>
            <w:proofErr w:type="spellStart"/>
            <w:r w:rsidRPr="00ED00F3">
              <w:rPr>
                <w:rFonts w:ascii="Calibri" w:hAnsi="Calibri" w:cs="Calibri"/>
              </w:rPr>
              <w:t>Adgm</w:t>
            </w:r>
            <w:proofErr w:type="spellEnd"/>
            <w:r w:rsidRPr="00ED00F3">
              <w:rPr>
                <w:rFonts w:ascii="Calibri" w:hAnsi="Calibri" w:cs="Calibri"/>
              </w:rPr>
              <w:t xml:space="preserve"> Square, Al </w:t>
            </w:r>
            <w:proofErr w:type="spellStart"/>
            <w:r w:rsidRPr="00ED00F3">
              <w:rPr>
                <w:rFonts w:ascii="Calibri" w:hAnsi="Calibri" w:cs="Calibri"/>
              </w:rPr>
              <w:t>Maryah</w:t>
            </w:r>
            <w:proofErr w:type="spellEnd"/>
            <w:r w:rsidRPr="00ED00F3">
              <w:rPr>
                <w:rFonts w:ascii="Calibri" w:hAnsi="Calibri" w:cs="Calibri"/>
              </w:rPr>
              <w:t xml:space="preserve"> Island, Abu Dhabi, United Arab Emirates.</w:t>
            </w:r>
          </w:p>
        </w:tc>
      </w:tr>
      <w:tr w:rsidR="002A499D" w:rsidRPr="00C6107B" w14:paraId="58AEDF67" w14:textId="77777777" w:rsidTr="00F86DE2">
        <w:tc>
          <w:tcPr>
            <w:tcW w:w="2756" w:type="dxa"/>
            <w:shd w:val="clear" w:color="auto" w:fill="auto"/>
          </w:tcPr>
          <w:p w14:paraId="3A7AF3C9" w14:textId="77777777" w:rsidR="002A499D" w:rsidRPr="002A499D" w:rsidRDefault="002A499D" w:rsidP="00F86DE2">
            <w:pPr>
              <w:rPr>
                <w:rFonts w:ascii="Calibri" w:hAnsi="Calibri" w:cs="Calibri"/>
                <w:b/>
                <w:lang w:val="en-US"/>
              </w:rPr>
            </w:pPr>
          </w:p>
        </w:tc>
        <w:tc>
          <w:tcPr>
            <w:tcW w:w="6270" w:type="dxa"/>
            <w:shd w:val="clear" w:color="auto" w:fill="auto"/>
          </w:tcPr>
          <w:p w14:paraId="19E74781" w14:textId="77777777" w:rsidR="002A499D" w:rsidRPr="00ED00F3" w:rsidRDefault="002A499D" w:rsidP="00F86DE2">
            <w:pPr>
              <w:rPr>
                <w:rFonts w:ascii="Calibri" w:hAnsi="Calibri" w:cs="Calibri"/>
              </w:rPr>
            </w:pPr>
          </w:p>
        </w:tc>
      </w:tr>
      <w:tr w:rsidR="002A499D" w:rsidRPr="00C6107B" w14:paraId="7E66C4F1" w14:textId="77777777" w:rsidTr="00F86DE2">
        <w:tc>
          <w:tcPr>
            <w:tcW w:w="2756" w:type="dxa"/>
            <w:shd w:val="clear" w:color="auto" w:fill="auto"/>
          </w:tcPr>
          <w:p w14:paraId="47BD4D75" w14:textId="77777777" w:rsidR="002A499D" w:rsidRPr="002A499D" w:rsidRDefault="002A499D" w:rsidP="00F86DE2">
            <w:pPr>
              <w:rPr>
                <w:rFonts w:ascii="Calibri" w:hAnsi="Calibri" w:cs="Calibri"/>
                <w:b/>
                <w:lang w:val="en-US"/>
              </w:rPr>
            </w:pPr>
            <w:r w:rsidRPr="002A499D">
              <w:rPr>
                <w:rFonts w:ascii="Calibri" w:hAnsi="Calibri" w:cs="Calibri"/>
                <w:b/>
                <w:lang w:val="en-US"/>
              </w:rPr>
              <w:t>Directors of the Fund</w:t>
            </w:r>
          </w:p>
        </w:tc>
        <w:tc>
          <w:tcPr>
            <w:tcW w:w="6270" w:type="dxa"/>
            <w:shd w:val="clear" w:color="auto" w:fill="auto"/>
          </w:tcPr>
          <w:p w14:paraId="72393AED" w14:textId="77777777" w:rsidR="00ED00F3" w:rsidRPr="00ED00F3" w:rsidRDefault="00ED00F3" w:rsidP="00F86DE2">
            <w:pPr>
              <w:pStyle w:val="ListParagraph"/>
              <w:numPr>
                <w:ilvl w:val="0"/>
                <w:numId w:val="41"/>
              </w:numPr>
              <w:rPr>
                <w:rFonts w:ascii="Calibri" w:hAnsi="Calibri" w:cs="Calibri"/>
                <w:sz w:val="20"/>
                <w:szCs w:val="20"/>
              </w:rPr>
            </w:pPr>
            <w:proofErr w:type="spellStart"/>
            <w:r w:rsidRPr="00ED00F3">
              <w:rPr>
                <w:rFonts w:ascii="Calibri" w:hAnsi="Calibri" w:cs="Calibri"/>
                <w:sz w:val="20"/>
                <w:szCs w:val="20"/>
              </w:rPr>
              <w:t>Neovision</w:t>
            </w:r>
            <w:proofErr w:type="spellEnd"/>
            <w:r w:rsidRPr="00ED00F3">
              <w:rPr>
                <w:rFonts w:ascii="Calibri" w:hAnsi="Calibri" w:cs="Calibri"/>
                <w:sz w:val="20"/>
                <w:szCs w:val="20"/>
              </w:rPr>
              <w:t xml:space="preserve"> Wealth Management Limited</w:t>
            </w:r>
          </w:p>
          <w:p w14:paraId="2A9F595B" w14:textId="7AD90246" w:rsidR="00ED00F3" w:rsidRPr="00ED00F3" w:rsidRDefault="00ED00F3" w:rsidP="00F86DE2">
            <w:pPr>
              <w:pStyle w:val="ListParagraph"/>
              <w:numPr>
                <w:ilvl w:val="0"/>
                <w:numId w:val="41"/>
              </w:numPr>
              <w:rPr>
                <w:rFonts w:ascii="Calibri" w:hAnsi="Calibri" w:cs="Calibri"/>
                <w:sz w:val="20"/>
                <w:szCs w:val="20"/>
              </w:rPr>
            </w:pPr>
            <w:r w:rsidRPr="00ED00F3">
              <w:rPr>
                <w:rFonts w:ascii="Calibri" w:hAnsi="Calibri" w:cs="Calibri"/>
                <w:sz w:val="20"/>
                <w:szCs w:val="20"/>
              </w:rPr>
              <w:t>Robert Daykin</w:t>
            </w:r>
          </w:p>
          <w:p w14:paraId="62CEE834" w14:textId="51277D68" w:rsidR="00ED00F3" w:rsidRPr="00ED00F3" w:rsidRDefault="00ED00F3" w:rsidP="00F86DE2">
            <w:pPr>
              <w:pStyle w:val="ListParagraph"/>
              <w:numPr>
                <w:ilvl w:val="0"/>
                <w:numId w:val="41"/>
              </w:numPr>
              <w:rPr>
                <w:rFonts w:ascii="Calibri" w:hAnsi="Calibri" w:cs="Calibri"/>
                <w:sz w:val="20"/>
                <w:szCs w:val="20"/>
              </w:rPr>
            </w:pPr>
            <w:r w:rsidRPr="00ED00F3">
              <w:rPr>
                <w:rFonts w:ascii="Calibri" w:hAnsi="Calibri" w:cs="Calibri"/>
                <w:sz w:val="20"/>
                <w:szCs w:val="20"/>
              </w:rPr>
              <w:t>Dominik Scheiner</w:t>
            </w:r>
          </w:p>
          <w:p w14:paraId="44514F94" w14:textId="4AC9C994" w:rsidR="00ED00F3" w:rsidRPr="00ED00F3" w:rsidRDefault="00ED00F3" w:rsidP="00F86DE2">
            <w:pPr>
              <w:pStyle w:val="ListParagraph"/>
              <w:numPr>
                <w:ilvl w:val="0"/>
                <w:numId w:val="41"/>
              </w:numPr>
              <w:rPr>
                <w:rFonts w:ascii="Calibri" w:hAnsi="Calibri" w:cs="Calibri"/>
                <w:sz w:val="20"/>
                <w:szCs w:val="20"/>
              </w:rPr>
            </w:pPr>
            <w:r w:rsidRPr="00ED00F3">
              <w:rPr>
                <w:rFonts w:ascii="Calibri" w:hAnsi="Calibri" w:cs="Calibri"/>
                <w:sz w:val="20"/>
                <w:szCs w:val="20"/>
              </w:rPr>
              <w:t xml:space="preserve">Stuart </w:t>
            </w:r>
            <w:proofErr w:type="spellStart"/>
            <w:r w:rsidRPr="00ED00F3">
              <w:rPr>
                <w:rFonts w:ascii="Calibri" w:hAnsi="Calibri" w:cs="Calibri"/>
                <w:sz w:val="20"/>
                <w:szCs w:val="20"/>
              </w:rPr>
              <w:t>Pinnington</w:t>
            </w:r>
            <w:proofErr w:type="spellEnd"/>
          </w:p>
        </w:tc>
      </w:tr>
      <w:tr w:rsidR="002A499D" w:rsidRPr="00C6107B" w14:paraId="68DC349B" w14:textId="77777777" w:rsidTr="00F86DE2">
        <w:tc>
          <w:tcPr>
            <w:tcW w:w="2756" w:type="dxa"/>
            <w:shd w:val="clear" w:color="auto" w:fill="auto"/>
          </w:tcPr>
          <w:p w14:paraId="479E4C22" w14:textId="77777777" w:rsidR="002A499D" w:rsidRPr="002A499D" w:rsidRDefault="002A499D" w:rsidP="00F86DE2">
            <w:pPr>
              <w:rPr>
                <w:rFonts w:ascii="Calibri" w:hAnsi="Calibri" w:cs="Calibri"/>
                <w:b/>
                <w:lang w:val="en-US"/>
              </w:rPr>
            </w:pPr>
          </w:p>
        </w:tc>
        <w:tc>
          <w:tcPr>
            <w:tcW w:w="6270" w:type="dxa"/>
            <w:shd w:val="clear" w:color="auto" w:fill="auto"/>
          </w:tcPr>
          <w:p w14:paraId="1EDB947D" w14:textId="77777777" w:rsidR="002A499D" w:rsidRPr="00ED00F3" w:rsidRDefault="002A499D" w:rsidP="00F86DE2">
            <w:pPr>
              <w:rPr>
                <w:rFonts w:ascii="Calibri" w:hAnsi="Calibri" w:cs="Calibri"/>
                <w:lang w:val="en-US"/>
              </w:rPr>
            </w:pPr>
          </w:p>
        </w:tc>
      </w:tr>
      <w:tr w:rsidR="002A499D" w:rsidRPr="00C6107B" w14:paraId="02E68883" w14:textId="77777777" w:rsidTr="00F86DE2">
        <w:tc>
          <w:tcPr>
            <w:tcW w:w="2756" w:type="dxa"/>
            <w:shd w:val="clear" w:color="auto" w:fill="auto"/>
          </w:tcPr>
          <w:p w14:paraId="62DB1D29" w14:textId="77777777" w:rsidR="002A499D" w:rsidRPr="00492A29" w:rsidRDefault="002A499D" w:rsidP="00F86DE2">
            <w:pPr>
              <w:rPr>
                <w:rFonts w:ascii="Calibri" w:hAnsi="Calibri" w:cs="Calibri"/>
                <w:b/>
                <w:lang w:val="en-US"/>
              </w:rPr>
            </w:pPr>
            <w:r w:rsidRPr="00492A29">
              <w:rPr>
                <w:rFonts w:ascii="Calibri" w:hAnsi="Calibri" w:cs="Calibri"/>
                <w:b/>
                <w:lang w:val="en-US"/>
              </w:rPr>
              <w:t xml:space="preserve">Base Currency </w:t>
            </w:r>
          </w:p>
        </w:tc>
        <w:tc>
          <w:tcPr>
            <w:tcW w:w="6270" w:type="dxa"/>
            <w:shd w:val="clear" w:color="auto" w:fill="auto"/>
          </w:tcPr>
          <w:p w14:paraId="0AFA9B98" w14:textId="452D6DCB" w:rsidR="002A499D" w:rsidRPr="00492A29" w:rsidRDefault="002A499D" w:rsidP="00F86DE2">
            <w:pPr>
              <w:pStyle w:val="LONLegal1Cont2"/>
              <w:ind w:left="0"/>
              <w:jc w:val="both"/>
              <w:rPr>
                <w:rFonts w:ascii="Calibri" w:hAnsi="Calibri" w:cs="Calibri"/>
                <w:sz w:val="20"/>
                <w:lang w:val="en-US"/>
              </w:rPr>
            </w:pPr>
            <w:r w:rsidRPr="00492A29">
              <w:rPr>
                <w:rFonts w:ascii="Calibri" w:hAnsi="Calibri" w:cs="Calibri"/>
                <w:sz w:val="20"/>
                <w:lang w:val="en-US"/>
              </w:rPr>
              <w:t>The base currency of the Fund is the US Dollar (</w:t>
            </w:r>
            <w:r w:rsidRPr="00492A29">
              <w:rPr>
                <w:rFonts w:ascii="Calibri" w:hAnsi="Calibri" w:cs="Calibri"/>
                <w:b/>
                <w:bCs/>
                <w:sz w:val="20"/>
                <w:lang w:val="en-US"/>
              </w:rPr>
              <w:t>US$</w:t>
            </w:r>
            <w:r w:rsidRPr="00492A29">
              <w:rPr>
                <w:rFonts w:ascii="Calibri" w:hAnsi="Calibri" w:cs="Calibri"/>
                <w:sz w:val="20"/>
                <w:lang w:val="en-US"/>
              </w:rPr>
              <w:t xml:space="preserve">). Cash distributions </w:t>
            </w:r>
            <w:r w:rsidR="00492A29" w:rsidRPr="00492A29">
              <w:rPr>
                <w:rFonts w:ascii="Calibri" w:hAnsi="Calibri" w:cs="Calibri"/>
                <w:sz w:val="20"/>
                <w:lang w:val="en-US"/>
              </w:rPr>
              <w:t xml:space="preserve">(if any) </w:t>
            </w:r>
            <w:r w:rsidRPr="00492A29">
              <w:rPr>
                <w:rFonts w:ascii="Calibri" w:hAnsi="Calibri" w:cs="Calibri"/>
                <w:sz w:val="20"/>
                <w:lang w:val="en-US"/>
              </w:rPr>
              <w:t xml:space="preserve">to Investors </w:t>
            </w:r>
            <w:r w:rsidRPr="00492A29">
              <w:rPr>
                <w:rFonts w:ascii="Calibri" w:hAnsi="Calibri" w:cs="Calibri"/>
                <w:sz w:val="20"/>
              </w:rPr>
              <w:t>will be made in US$ (or, subject to relevant approvals and the terms of the Tokens, stablecoin</w:t>
            </w:r>
            <w:r w:rsidRPr="00492A29">
              <w:rPr>
                <w:rFonts w:ascii="Calibri" w:hAnsi="Calibri" w:cs="Calibri"/>
                <w:sz w:val="20"/>
                <w:lang w:val="en-US"/>
              </w:rPr>
              <w:t xml:space="preserve">). </w:t>
            </w:r>
          </w:p>
          <w:p w14:paraId="4B2FC6B2" w14:textId="77777777" w:rsidR="002A499D" w:rsidRPr="00492A29" w:rsidRDefault="002A499D" w:rsidP="00F86DE2">
            <w:pPr>
              <w:pStyle w:val="LONLegal1Cont2"/>
              <w:spacing w:after="0"/>
              <w:ind w:left="0"/>
              <w:jc w:val="both"/>
              <w:rPr>
                <w:rFonts w:ascii="Calibri" w:hAnsi="Calibri" w:cs="Calibri"/>
                <w:sz w:val="20"/>
                <w:lang w:val="en-US"/>
              </w:rPr>
            </w:pPr>
            <w:r w:rsidRPr="00492A29">
              <w:rPr>
                <w:rFonts w:ascii="Calibri" w:hAnsi="Calibri" w:cs="Calibri"/>
                <w:sz w:val="20"/>
                <w:lang w:val="en-US"/>
              </w:rPr>
              <w:t>The financial statements of the Fund will be prepared in US$.</w:t>
            </w:r>
          </w:p>
        </w:tc>
      </w:tr>
      <w:tr w:rsidR="00492A29" w:rsidRPr="00C6107B" w14:paraId="54D675FD" w14:textId="77777777" w:rsidTr="00E41AA8">
        <w:tc>
          <w:tcPr>
            <w:tcW w:w="2756" w:type="dxa"/>
            <w:shd w:val="clear" w:color="auto" w:fill="auto"/>
          </w:tcPr>
          <w:p w14:paraId="6CB21359" w14:textId="77777777" w:rsidR="00492A29" w:rsidRPr="00492A29" w:rsidRDefault="00492A29" w:rsidP="00E41AA8">
            <w:pPr>
              <w:rPr>
                <w:rFonts w:ascii="Calibri" w:hAnsi="Calibri" w:cs="Calibri"/>
                <w:b/>
                <w:lang w:val="en-US"/>
              </w:rPr>
            </w:pPr>
          </w:p>
        </w:tc>
        <w:tc>
          <w:tcPr>
            <w:tcW w:w="6270" w:type="dxa"/>
            <w:shd w:val="clear" w:color="auto" w:fill="auto"/>
          </w:tcPr>
          <w:p w14:paraId="069D1FB7" w14:textId="77777777" w:rsidR="00492A29" w:rsidRPr="00492A29" w:rsidRDefault="00492A29" w:rsidP="00E41AA8">
            <w:pPr>
              <w:rPr>
                <w:rFonts w:ascii="Calibri" w:hAnsi="Calibri" w:cs="Calibri"/>
                <w:lang w:val="en-US"/>
              </w:rPr>
            </w:pPr>
          </w:p>
        </w:tc>
      </w:tr>
      <w:tr w:rsidR="00492A29" w:rsidRPr="00C6107B" w14:paraId="09E15B72" w14:textId="77777777" w:rsidTr="00E41AA8">
        <w:tc>
          <w:tcPr>
            <w:tcW w:w="2756" w:type="dxa"/>
            <w:shd w:val="clear" w:color="auto" w:fill="auto"/>
          </w:tcPr>
          <w:p w14:paraId="427941D4" w14:textId="12D91E6D" w:rsidR="00492A29" w:rsidRPr="00492A29" w:rsidRDefault="00492A29" w:rsidP="00492A29">
            <w:pPr>
              <w:rPr>
                <w:rFonts w:ascii="Calibri" w:hAnsi="Calibri" w:cs="Calibri"/>
                <w:b/>
                <w:lang w:val="en-US"/>
              </w:rPr>
            </w:pPr>
            <w:r w:rsidRPr="00492A29">
              <w:rPr>
                <w:rFonts w:ascii="Calibri" w:hAnsi="Calibri" w:cs="Calibri"/>
                <w:b/>
                <w:lang w:val="en-US"/>
              </w:rPr>
              <w:t>Accumulating Tokens (no distributions)</w:t>
            </w:r>
          </w:p>
        </w:tc>
        <w:tc>
          <w:tcPr>
            <w:tcW w:w="6270" w:type="dxa"/>
            <w:shd w:val="clear" w:color="auto" w:fill="auto"/>
          </w:tcPr>
          <w:p w14:paraId="13F8CAE2" w14:textId="77777777" w:rsidR="00492A29" w:rsidRPr="00492A29" w:rsidRDefault="00492A29" w:rsidP="00492A29">
            <w:pPr>
              <w:rPr>
                <w:rFonts w:ascii="Calibri" w:hAnsi="Calibri" w:cs="Calibri"/>
                <w:lang w:val="en-US"/>
              </w:rPr>
            </w:pPr>
            <w:r w:rsidRPr="00492A29">
              <w:rPr>
                <w:rFonts w:ascii="Calibri" w:hAnsi="Calibri" w:cs="Calibri"/>
                <w:lang w:val="en-US"/>
              </w:rPr>
              <w:t>The Tokens are accumulating tokens, and any income generated through the Investments (through sale, dividends, distributions, or otherwise) shall not be distributed to the Tokens but shall be reinvested into the Investments to acquire additional units in the relevant ETFs (as determined by the Board).</w:t>
            </w:r>
          </w:p>
          <w:p w14:paraId="4A8C0C01" w14:textId="77777777" w:rsidR="00492A29" w:rsidRPr="00492A29" w:rsidRDefault="00492A29" w:rsidP="00492A29">
            <w:pPr>
              <w:rPr>
                <w:rFonts w:ascii="Calibri" w:hAnsi="Calibri" w:cs="Calibri"/>
                <w:lang w:val="en-US"/>
              </w:rPr>
            </w:pPr>
          </w:p>
          <w:p w14:paraId="4D5325E3" w14:textId="79B55C46" w:rsidR="00492A29" w:rsidRPr="00492A29" w:rsidRDefault="00492A29" w:rsidP="00492A29">
            <w:pPr>
              <w:pStyle w:val="LONLegal1Cont2"/>
              <w:spacing w:after="0"/>
              <w:ind w:left="0"/>
              <w:jc w:val="both"/>
              <w:rPr>
                <w:rFonts w:ascii="Calibri" w:hAnsi="Calibri" w:cs="Calibri"/>
                <w:sz w:val="20"/>
                <w:lang w:val="en-US"/>
              </w:rPr>
            </w:pPr>
            <w:r w:rsidRPr="00492A29">
              <w:rPr>
                <w:rFonts w:ascii="Calibri" w:hAnsi="Calibri" w:cs="Calibri"/>
                <w:sz w:val="20"/>
                <w:lang w:val="en-US"/>
              </w:rPr>
              <w:t>Token Holders will have no right to receive income or distributions in relation to the Tokens other than at the point of redemption.</w:t>
            </w:r>
          </w:p>
        </w:tc>
      </w:tr>
      <w:tr w:rsidR="002A499D" w:rsidRPr="00C6107B" w14:paraId="729D0742" w14:textId="77777777" w:rsidTr="00F86DE2">
        <w:tc>
          <w:tcPr>
            <w:tcW w:w="2756" w:type="dxa"/>
            <w:shd w:val="clear" w:color="auto" w:fill="auto"/>
          </w:tcPr>
          <w:p w14:paraId="610FC801" w14:textId="77777777" w:rsidR="002A499D" w:rsidRPr="00492A29" w:rsidRDefault="002A499D" w:rsidP="00F86DE2">
            <w:pPr>
              <w:rPr>
                <w:rFonts w:ascii="Calibri" w:hAnsi="Calibri" w:cs="Calibri"/>
                <w:b/>
                <w:lang w:val="en-US"/>
              </w:rPr>
            </w:pPr>
          </w:p>
        </w:tc>
        <w:tc>
          <w:tcPr>
            <w:tcW w:w="6270" w:type="dxa"/>
            <w:shd w:val="clear" w:color="auto" w:fill="auto"/>
          </w:tcPr>
          <w:p w14:paraId="3578B3F8" w14:textId="77777777" w:rsidR="002A499D" w:rsidRPr="00492A29" w:rsidRDefault="002A499D" w:rsidP="00F86DE2">
            <w:pPr>
              <w:rPr>
                <w:rFonts w:ascii="Calibri" w:hAnsi="Calibri" w:cs="Calibri"/>
                <w:lang w:val="en-US"/>
              </w:rPr>
            </w:pPr>
          </w:p>
        </w:tc>
      </w:tr>
      <w:tr w:rsidR="002A499D" w:rsidRPr="00BC0C93" w14:paraId="7C0B50F5" w14:textId="77777777" w:rsidTr="00F86DE2">
        <w:tc>
          <w:tcPr>
            <w:tcW w:w="9026" w:type="dxa"/>
            <w:gridSpan w:val="2"/>
            <w:shd w:val="clear" w:color="auto" w:fill="D5DDE7" w:themeFill="text2" w:themeFillTint="33"/>
          </w:tcPr>
          <w:p w14:paraId="0D2C6AD6" w14:textId="77777777" w:rsidR="002A499D" w:rsidRPr="00492A29" w:rsidRDefault="002A499D" w:rsidP="00F86DE2">
            <w:pPr>
              <w:rPr>
                <w:rFonts w:ascii="Calibri" w:hAnsi="Calibri" w:cs="Calibri"/>
                <w:lang w:val="en-US"/>
              </w:rPr>
            </w:pPr>
            <w:r w:rsidRPr="00492A29">
              <w:rPr>
                <w:rFonts w:ascii="Calibri" w:hAnsi="Calibri" w:cs="Calibri"/>
                <w:b/>
                <w:lang w:val="en-US"/>
              </w:rPr>
              <w:t xml:space="preserve">Subscriptions </w:t>
            </w:r>
          </w:p>
        </w:tc>
      </w:tr>
      <w:tr w:rsidR="002A499D" w:rsidRPr="00C6107B" w14:paraId="11F21A0F" w14:textId="77777777" w:rsidTr="00F86DE2">
        <w:tc>
          <w:tcPr>
            <w:tcW w:w="2756" w:type="dxa"/>
            <w:shd w:val="clear" w:color="auto" w:fill="auto"/>
          </w:tcPr>
          <w:p w14:paraId="592DB034" w14:textId="77777777" w:rsidR="002A499D" w:rsidRPr="00492A29" w:rsidRDefault="002A499D" w:rsidP="00F86DE2">
            <w:pPr>
              <w:rPr>
                <w:rFonts w:ascii="Calibri" w:hAnsi="Calibri" w:cs="Calibri"/>
                <w:b/>
                <w:lang w:val="en-US"/>
              </w:rPr>
            </w:pPr>
          </w:p>
        </w:tc>
        <w:tc>
          <w:tcPr>
            <w:tcW w:w="6270" w:type="dxa"/>
            <w:shd w:val="clear" w:color="auto" w:fill="auto"/>
          </w:tcPr>
          <w:p w14:paraId="48CD95A1" w14:textId="77777777" w:rsidR="002A499D" w:rsidRPr="00492A29" w:rsidRDefault="002A499D" w:rsidP="00F86DE2">
            <w:pPr>
              <w:rPr>
                <w:rFonts w:ascii="Calibri" w:hAnsi="Calibri" w:cs="Calibri"/>
                <w:lang w:val="en-US"/>
              </w:rPr>
            </w:pPr>
          </w:p>
        </w:tc>
      </w:tr>
      <w:tr w:rsidR="002A499D" w:rsidRPr="00C6107B" w14:paraId="18EF30D3" w14:textId="77777777" w:rsidTr="00F86DE2">
        <w:tc>
          <w:tcPr>
            <w:tcW w:w="2756" w:type="dxa"/>
            <w:shd w:val="clear" w:color="auto" w:fill="auto"/>
          </w:tcPr>
          <w:p w14:paraId="0FDE5964" w14:textId="77777777" w:rsidR="002A499D" w:rsidRPr="00492A29" w:rsidRDefault="002A499D" w:rsidP="00F86DE2">
            <w:pPr>
              <w:rPr>
                <w:rFonts w:ascii="Calibri" w:hAnsi="Calibri" w:cs="Calibri"/>
                <w:b/>
                <w:lang w:val="en-US"/>
              </w:rPr>
            </w:pPr>
            <w:r w:rsidRPr="00492A29">
              <w:rPr>
                <w:rFonts w:ascii="Calibri" w:hAnsi="Calibri" w:cs="Calibri"/>
                <w:b/>
                <w:lang w:val="en-US"/>
              </w:rPr>
              <w:t>Subscription Price</w:t>
            </w:r>
          </w:p>
          <w:p w14:paraId="6017FDAF" w14:textId="77777777" w:rsidR="002A499D" w:rsidRPr="00492A29" w:rsidRDefault="002A499D" w:rsidP="00F86DE2">
            <w:pPr>
              <w:rPr>
                <w:rFonts w:ascii="Calibri" w:hAnsi="Calibri" w:cs="Calibri"/>
                <w:b/>
                <w:lang w:val="en-US"/>
              </w:rPr>
            </w:pPr>
          </w:p>
        </w:tc>
        <w:tc>
          <w:tcPr>
            <w:tcW w:w="6270" w:type="dxa"/>
            <w:shd w:val="clear" w:color="auto" w:fill="auto"/>
          </w:tcPr>
          <w:p w14:paraId="136C10CC" w14:textId="77777777" w:rsidR="002A499D" w:rsidRPr="00492A29" w:rsidRDefault="002A499D" w:rsidP="00F86DE2">
            <w:pPr>
              <w:rPr>
                <w:rFonts w:ascii="Calibri" w:hAnsi="Calibri" w:cs="Calibri"/>
              </w:rPr>
            </w:pPr>
            <w:bookmarkStart w:id="11" w:name="_DV_M183"/>
            <w:bookmarkEnd w:id="11"/>
            <w:r w:rsidRPr="00492A29">
              <w:rPr>
                <w:rFonts w:ascii="Calibri" w:hAnsi="Calibri" w:cs="Calibri"/>
              </w:rPr>
              <w:t>At the first issuance of the Tokens, e</w:t>
            </w:r>
            <w:r w:rsidRPr="00492A29">
              <w:rPr>
                <w:rFonts w:ascii="Calibri" w:hAnsi="Calibri" w:cs="Calibri"/>
                <w:lang w:val="en-US"/>
              </w:rPr>
              <w:t>ach Token shall be minted and issued at an initial value of US$</w:t>
            </w:r>
            <w:r w:rsidRPr="00492A29">
              <w:rPr>
                <w:rFonts w:ascii="Calibri" w:hAnsi="Calibri" w:cs="Calibri"/>
              </w:rPr>
              <w:t xml:space="preserve">1,000.  </w:t>
            </w:r>
            <w:r w:rsidRPr="00492A29">
              <w:rPr>
                <w:rFonts w:ascii="Calibri" w:hAnsi="Calibri" w:cs="Calibri"/>
                <w:lang w:val="en-US"/>
              </w:rPr>
              <w:t>Tokens may be fractionalized following issuance in accordance with their terms and their distribution on the relevant blockchain</w:t>
            </w:r>
            <w:r w:rsidRPr="00492A29">
              <w:rPr>
                <w:rFonts w:ascii="Calibri" w:hAnsi="Calibri" w:cs="Calibri"/>
              </w:rPr>
              <w:t>. </w:t>
            </w:r>
          </w:p>
          <w:p w14:paraId="33CD1D01" w14:textId="77777777" w:rsidR="002A499D" w:rsidRPr="00492A29" w:rsidRDefault="002A499D" w:rsidP="00F86DE2">
            <w:pPr>
              <w:rPr>
                <w:rFonts w:ascii="Calibri" w:hAnsi="Calibri" w:cs="Calibri"/>
              </w:rPr>
            </w:pPr>
          </w:p>
          <w:p w14:paraId="5EDE805C" w14:textId="3DBCAE35" w:rsidR="002A499D" w:rsidRPr="00492A29" w:rsidRDefault="009118FB" w:rsidP="00F86DE2">
            <w:pPr>
              <w:rPr>
                <w:rFonts w:ascii="Calibri" w:hAnsi="Calibri" w:cs="Calibri"/>
              </w:rPr>
            </w:pPr>
            <w:r w:rsidRPr="002A499D">
              <w:rPr>
                <w:rFonts w:ascii="Calibri" w:hAnsi="Calibri" w:cs="Calibri"/>
              </w:rPr>
              <w:t xml:space="preserve">Following the </w:t>
            </w:r>
            <w:r>
              <w:rPr>
                <w:rFonts w:ascii="Calibri" w:hAnsi="Calibri" w:cs="Calibri"/>
              </w:rPr>
              <w:t>first offering of Tokens,</w:t>
            </w:r>
            <w:r w:rsidRPr="002A499D">
              <w:rPr>
                <w:rFonts w:ascii="Calibri" w:hAnsi="Calibri" w:cs="Calibri"/>
              </w:rPr>
              <w:t xml:space="preserve"> </w:t>
            </w:r>
            <w:r>
              <w:rPr>
                <w:rFonts w:ascii="Calibri" w:hAnsi="Calibri" w:cs="Calibri"/>
              </w:rPr>
              <w:t>the subscription</w:t>
            </w:r>
            <w:r w:rsidRPr="002A499D">
              <w:rPr>
                <w:rFonts w:ascii="Calibri" w:hAnsi="Calibri" w:cs="Calibri"/>
              </w:rPr>
              <w:t xml:space="preserve"> price at which Tokens shall be offered</w:t>
            </w:r>
            <w:r>
              <w:t xml:space="preserve"> </w:t>
            </w:r>
            <w:r w:rsidRPr="00E41AA8">
              <w:rPr>
                <w:rFonts w:ascii="Calibri" w:hAnsi="Calibri" w:cs="Calibri"/>
              </w:rPr>
              <w:t>will be</w:t>
            </w:r>
            <w:r>
              <w:t xml:space="preserve"> </w:t>
            </w:r>
            <w:r w:rsidRPr="00544EE6">
              <w:rPr>
                <w:rFonts w:ascii="Calibri" w:hAnsi="Calibri" w:cs="Calibri"/>
              </w:rPr>
              <w:t xml:space="preserve">the prevailing Net Asset Value per </w:t>
            </w:r>
            <w:r>
              <w:rPr>
                <w:rFonts w:ascii="Calibri" w:hAnsi="Calibri" w:cs="Calibri"/>
              </w:rPr>
              <w:t>Token</w:t>
            </w:r>
            <w:r w:rsidRPr="00544EE6">
              <w:rPr>
                <w:rFonts w:ascii="Calibri" w:hAnsi="Calibri" w:cs="Calibri"/>
              </w:rPr>
              <w:t xml:space="preserve"> </w:t>
            </w:r>
            <w:r>
              <w:rPr>
                <w:rFonts w:ascii="Calibri" w:hAnsi="Calibri" w:cs="Calibri"/>
              </w:rPr>
              <w:t>on the Valuation Day immediately preceding the relevant</w:t>
            </w:r>
            <w:r w:rsidRPr="00544EE6">
              <w:rPr>
                <w:rFonts w:ascii="Calibri" w:hAnsi="Calibri" w:cs="Calibri"/>
              </w:rPr>
              <w:t xml:space="preserve"> Subscription Day</w:t>
            </w:r>
            <w:r w:rsidR="002A499D" w:rsidRPr="00492A29">
              <w:rPr>
                <w:rFonts w:ascii="Calibri" w:hAnsi="Calibri" w:cs="Calibri"/>
              </w:rPr>
              <w:t>.</w:t>
            </w:r>
          </w:p>
        </w:tc>
      </w:tr>
      <w:tr w:rsidR="002A499D" w:rsidRPr="00C6107B" w14:paraId="2F92F89C" w14:textId="77777777" w:rsidTr="00F86DE2">
        <w:tc>
          <w:tcPr>
            <w:tcW w:w="2756" w:type="dxa"/>
            <w:shd w:val="clear" w:color="auto" w:fill="auto"/>
          </w:tcPr>
          <w:p w14:paraId="2B30DB9B" w14:textId="77777777" w:rsidR="002A499D" w:rsidRPr="002A499D" w:rsidRDefault="002A499D" w:rsidP="00F86DE2">
            <w:pPr>
              <w:rPr>
                <w:rFonts w:ascii="Calibri" w:hAnsi="Calibri" w:cs="Calibri"/>
                <w:b/>
                <w:lang w:val="en-US"/>
              </w:rPr>
            </w:pPr>
          </w:p>
        </w:tc>
        <w:tc>
          <w:tcPr>
            <w:tcW w:w="6270" w:type="dxa"/>
            <w:shd w:val="clear" w:color="auto" w:fill="auto"/>
          </w:tcPr>
          <w:p w14:paraId="0C6591B1" w14:textId="77777777" w:rsidR="002A499D" w:rsidRPr="002A499D" w:rsidRDefault="002A499D" w:rsidP="00F86DE2">
            <w:pPr>
              <w:rPr>
                <w:rFonts w:ascii="Calibri" w:hAnsi="Calibri" w:cs="Calibri"/>
              </w:rPr>
            </w:pPr>
          </w:p>
        </w:tc>
      </w:tr>
      <w:tr w:rsidR="002A499D" w:rsidRPr="00C6107B" w14:paraId="7B29F2F7" w14:textId="77777777" w:rsidTr="00F86DE2">
        <w:tc>
          <w:tcPr>
            <w:tcW w:w="2756" w:type="dxa"/>
            <w:shd w:val="clear" w:color="auto" w:fill="auto"/>
          </w:tcPr>
          <w:p w14:paraId="34585330" w14:textId="77777777" w:rsidR="002A499D" w:rsidRPr="002A499D" w:rsidRDefault="002A499D" w:rsidP="00F86DE2">
            <w:pPr>
              <w:rPr>
                <w:rFonts w:ascii="Calibri" w:hAnsi="Calibri" w:cs="Calibri"/>
                <w:b/>
                <w:lang w:val="en-US"/>
              </w:rPr>
            </w:pPr>
            <w:r w:rsidRPr="002A499D">
              <w:rPr>
                <w:rFonts w:ascii="Calibri" w:hAnsi="Calibri" w:cs="Calibri"/>
                <w:b/>
                <w:lang w:val="en-US"/>
              </w:rPr>
              <w:t>Subscription Day</w:t>
            </w:r>
          </w:p>
        </w:tc>
        <w:tc>
          <w:tcPr>
            <w:tcW w:w="6270" w:type="dxa"/>
            <w:shd w:val="clear" w:color="auto" w:fill="auto"/>
          </w:tcPr>
          <w:p w14:paraId="3B7C1C19" w14:textId="0A73F7BB" w:rsidR="002A499D" w:rsidRPr="002A499D" w:rsidRDefault="002A499D" w:rsidP="00F86DE2">
            <w:pPr>
              <w:rPr>
                <w:rFonts w:ascii="Calibri" w:hAnsi="Calibri" w:cs="Calibri"/>
              </w:rPr>
            </w:pPr>
            <w:r w:rsidRPr="002A499D">
              <w:rPr>
                <w:rFonts w:ascii="Calibri" w:hAnsi="Calibri" w:cs="Calibri"/>
              </w:rPr>
              <w:t xml:space="preserve">In respect of any Valuation Day, the Business Day immediately following such Valuation Day and/or such other day or days as the Board may from time to time determine either generally or in any </w:t>
            </w:r>
            <w:proofErr w:type="gramStart"/>
            <w:r w:rsidRPr="002A499D">
              <w:rPr>
                <w:rFonts w:ascii="Calibri" w:hAnsi="Calibri" w:cs="Calibri"/>
              </w:rPr>
              <w:t>particular case</w:t>
            </w:r>
            <w:proofErr w:type="gramEnd"/>
            <w:r w:rsidRPr="002A499D">
              <w:rPr>
                <w:rFonts w:ascii="Calibri" w:hAnsi="Calibri" w:cs="Calibri"/>
              </w:rPr>
              <w:t xml:space="preserve"> (each, a </w:t>
            </w:r>
            <w:r w:rsidRPr="002A499D">
              <w:rPr>
                <w:rFonts w:ascii="Calibri" w:hAnsi="Calibri" w:cs="Calibri"/>
                <w:b/>
              </w:rPr>
              <w:t>Subscription Day</w:t>
            </w:r>
            <w:r w:rsidRPr="002A499D">
              <w:rPr>
                <w:rFonts w:ascii="Calibri" w:hAnsi="Calibri" w:cs="Calibri"/>
              </w:rPr>
              <w:t>).</w:t>
            </w:r>
          </w:p>
          <w:p w14:paraId="234EC5BF" w14:textId="77777777" w:rsidR="002A499D" w:rsidRPr="002A499D" w:rsidRDefault="002A499D" w:rsidP="00F86DE2">
            <w:pPr>
              <w:rPr>
                <w:rFonts w:ascii="Calibri" w:hAnsi="Calibri" w:cs="Calibri"/>
              </w:rPr>
            </w:pPr>
          </w:p>
          <w:p w14:paraId="200501FC" w14:textId="77777777" w:rsidR="002A499D" w:rsidRPr="002A499D" w:rsidRDefault="002A499D" w:rsidP="00F86DE2">
            <w:pPr>
              <w:rPr>
                <w:rFonts w:ascii="Calibri" w:hAnsi="Calibri" w:cs="Calibri"/>
              </w:rPr>
            </w:pPr>
            <w:r w:rsidRPr="002A499D">
              <w:rPr>
                <w:rFonts w:ascii="Calibri" w:hAnsi="Calibri" w:cs="Calibri"/>
                <w:lang w:val="en-US"/>
              </w:rPr>
              <w:t xml:space="preserve">A </w:t>
            </w:r>
            <w:r w:rsidRPr="002A499D">
              <w:rPr>
                <w:rFonts w:ascii="Calibri" w:hAnsi="Calibri" w:cs="Calibri"/>
                <w:b/>
                <w:bCs/>
                <w:lang w:val="en-US"/>
              </w:rPr>
              <w:t>Valuation Day</w:t>
            </w:r>
            <w:r w:rsidRPr="002A499D">
              <w:rPr>
                <w:rFonts w:ascii="Calibri" w:hAnsi="Calibri" w:cs="Calibri"/>
                <w:lang w:val="en-US"/>
              </w:rPr>
              <w:t xml:space="preserve"> means each Business Day </w:t>
            </w:r>
            <w:r w:rsidRPr="002A499D">
              <w:rPr>
                <w:rFonts w:ascii="Calibri" w:hAnsi="Calibri" w:cs="Calibri"/>
              </w:rPr>
              <w:t xml:space="preserve">and such other day or days as the Board may from time to time determine either generally or in any </w:t>
            </w:r>
            <w:proofErr w:type="gramStart"/>
            <w:r w:rsidRPr="002A499D">
              <w:rPr>
                <w:rFonts w:ascii="Calibri" w:hAnsi="Calibri" w:cs="Calibri"/>
              </w:rPr>
              <w:t>particular case</w:t>
            </w:r>
            <w:proofErr w:type="gramEnd"/>
            <w:r w:rsidRPr="002A499D">
              <w:rPr>
                <w:rFonts w:ascii="Calibri" w:hAnsi="Calibri" w:cs="Calibri"/>
              </w:rPr>
              <w:t>.</w:t>
            </w:r>
          </w:p>
        </w:tc>
      </w:tr>
      <w:tr w:rsidR="002A499D" w:rsidRPr="00C6107B" w14:paraId="46B55355" w14:textId="77777777" w:rsidTr="00F86DE2">
        <w:tc>
          <w:tcPr>
            <w:tcW w:w="2756" w:type="dxa"/>
            <w:shd w:val="clear" w:color="auto" w:fill="auto"/>
          </w:tcPr>
          <w:p w14:paraId="135AE671" w14:textId="77777777" w:rsidR="002A499D" w:rsidRPr="002A499D" w:rsidRDefault="002A499D" w:rsidP="00F86DE2">
            <w:pPr>
              <w:rPr>
                <w:rFonts w:ascii="Calibri" w:hAnsi="Calibri" w:cs="Calibri"/>
                <w:b/>
                <w:lang w:val="en-US"/>
              </w:rPr>
            </w:pPr>
          </w:p>
        </w:tc>
        <w:tc>
          <w:tcPr>
            <w:tcW w:w="6270" w:type="dxa"/>
            <w:shd w:val="clear" w:color="auto" w:fill="auto"/>
          </w:tcPr>
          <w:p w14:paraId="21474881" w14:textId="77777777" w:rsidR="002A499D" w:rsidRPr="002A499D" w:rsidRDefault="002A499D" w:rsidP="00F86DE2">
            <w:pPr>
              <w:rPr>
                <w:rFonts w:ascii="Calibri" w:hAnsi="Calibri" w:cs="Calibri"/>
                <w:lang w:val="en-US"/>
              </w:rPr>
            </w:pPr>
          </w:p>
        </w:tc>
      </w:tr>
      <w:tr w:rsidR="002A499D" w:rsidRPr="00BC0C93" w14:paraId="0D23E720" w14:textId="77777777" w:rsidTr="00F86DE2">
        <w:tc>
          <w:tcPr>
            <w:tcW w:w="9026" w:type="dxa"/>
            <w:gridSpan w:val="2"/>
            <w:shd w:val="clear" w:color="auto" w:fill="D5DDE7" w:themeFill="text2" w:themeFillTint="33"/>
          </w:tcPr>
          <w:p w14:paraId="354AAEE2" w14:textId="77777777" w:rsidR="002A499D" w:rsidRPr="002A499D" w:rsidRDefault="002A499D" w:rsidP="00F86DE2">
            <w:pPr>
              <w:rPr>
                <w:rFonts w:ascii="Calibri" w:hAnsi="Calibri" w:cs="Calibri"/>
                <w:lang w:val="en-US"/>
              </w:rPr>
            </w:pPr>
            <w:r w:rsidRPr="002A499D">
              <w:rPr>
                <w:rFonts w:ascii="Calibri" w:hAnsi="Calibri" w:cs="Calibri"/>
                <w:b/>
                <w:lang w:val="en-US"/>
              </w:rPr>
              <w:t xml:space="preserve">Redemptions </w:t>
            </w:r>
          </w:p>
        </w:tc>
      </w:tr>
      <w:tr w:rsidR="002A499D" w:rsidRPr="00C6107B" w14:paraId="6747A6DA" w14:textId="77777777" w:rsidTr="00F86DE2">
        <w:tc>
          <w:tcPr>
            <w:tcW w:w="2756" w:type="dxa"/>
            <w:shd w:val="clear" w:color="auto" w:fill="auto"/>
          </w:tcPr>
          <w:p w14:paraId="356673FE" w14:textId="77777777" w:rsidR="002A499D" w:rsidRPr="002A499D" w:rsidRDefault="002A499D" w:rsidP="00F86DE2">
            <w:pPr>
              <w:rPr>
                <w:rFonts w:ascii="Calibri" w:hAnsi="Calibri" w:cs="Calibri"/>
                <w:b/>
                <w:lang w:val="en-US"/>
              </w:rPr>
            </w:pPr>
          </w:p>
        </w:tc>
        <w:tc>
          <w:tcPr>
            <w:tcW w:w="6270" w:type="dxa"/>
            <w:shd w:val="clear" w:color="auto" w:fill="auto"/>
          </w:tcPr>
          <w:p w14:paraId="367CA80C" w14:textId="77777777" w:rsidR="002A499D" w:rsidRPr="002A499D" w:rsidRDefault="002A499D" w:rsidP="00F86DE2">
            <w:pPr>
              <w:pStyle w:val="BodyText"/>
              <w:spacing w:after="0"/>
              <w:rPr>
                <w:rFonts w:cs="Calibri"/>
                <w:sz w:val="20"/>
              </w:rPr>
            </w:pPr>
          </w:p>
        </w:tc>
      </w:tr>
      <w:tr w:rsidR="002A499D" w:rsidRPr="00C6107B" w14:paraId="0F7DC6BA" w14:textId="77777777" w:rsidTr="00F86DE2">
        <w:tc>
          <w:tcPr>
            <w:tcW w:w="2756" w:type="dxa"/>
            <w:shd w:val="clear" w:color="auto" w:fill="auto"/>
          </w:tcPr>
          <w:p w14:paraId="42D8F8E0" w14:textId="77777777" w:rsidR="002A499D" w:rsidRPr="002A499D" w:rsidRDefault="002A499D" w:rsidP="00F86DE2">
            <w:pPr>
              <w:rPr>
                <w:rFonts w:ascii="Calibri" w:hAnsi="Calibri" w:cs="Calibri"/>
                <w:b/>
                <w:lang w:val="en-US"/>
              </w:rPr>
            </w:pPr>
            <w:r w:rsidRPr="002A499D">
              <w:rPr>
                <w:rFonts w:ascii="Calibri" w:hAnsi="Calibri" w:cs="Calibri"/>
                <w:b/>
                <w:lang w:val="en-US"/>
              </w:rPr>
              <w:t>Lock-up Period</w:t>
            </w:r>
          </w:p>
        </w:tc>
        <w:tc>
          <w:tcPr>
            <w:tcW w:w="6270" w:type="dxa"/>
            <w:shd w:val="clear" w:color="auto" w:fill="auto"/>
          </w:tcPr>
          <w:p w14:paraId="18D070A2" w14:textId="77777777" w:rsidR="002A499D" w:rsidRPr="002A499D" w:rsidRDefault="002A499D" w:rsidP="00F86DE2">
            <w:pPr>
              <w:pStyle w:val="BodyText"/>
              <w:spacing w:after="0"/>
              <w:rPr>
                <w:rFonts w:cs="Calibri"/>
                <w:sz w:val="20"/>
              </w:rPr>
            </w:pPr>
            <w:r w:rsidRPr="002A499D">
              <w:rPr>
                <w:rFonts w:cs="Calibri"/>
                <w:sz w:val="20"/>
              </w:rPr>
              <w:t>No lock-up applies to the Tokens</w:t>
            </w:r>
          </w:p>
        </w:tc>
      </w:tr>
      <w:tr w:rsidR="002A499D" w:rsidRPr="00C6107B" w14:paraId="05E9EC18" w14:textId="77777777" w:rsidTr="00F86DE2">
        <w:tc>
          <w:tcPr>
            <w:tcW w:w="2756" w:type="dxa"/>
            <w:shd w:val="clear" w:color="auto" w:fill="auto"/>
          </w:tcPr>
          <w:p w14:paraId="673D992C" w14:textId="77777777" w:rsidR="002A499D" w:rsidRPr="002A499D" w:rsidRDefault="002A499D" w:rsidP="00F86DE2">
            <w:pPr>
              <w:rPr>
                <w:rFonts w:ascii="Calibri" w:hAnsi="Calibri" w:cs="Calibri"/>
                <w:b/>
                <w:lang w:val="en-US"/>
              </w:rPr>
            </w:pPr>
          </w:p>
        </w:tc>
        <w:tc>
          <w:tcPr>
            <w:tcW w:w="6270" w:type="dxa"/>
            <w:shd w:val="clear" w:color="auto" w:fill="auto"/>
          </w:tcPr>
          <w:p w14:paraId="412A1163" w14:textId="77777777" w:rsidR="002A499D" w:rsidRPr="002A499D" w:rsidRDefault="002A499D" w:rsidP="00F86DE2">
            <w:pPr>
              <w:pStyle w:val="BodyText"/>
              <w:spacing w:after="0"/>
              <w:rPr>
                <w:rFonts w:cs="Calibri"/>
                <w:sz w:val="20"/>
              </w:rPr>
            </w:pPr>
          </w:p>
        </w:tc>
      </w:tr>
      <w:tr w:rsidR="002A499D" w:rsidRPr="00C6107B" w14:paraId="16CC6286" w14:textId="77777777" w:rsidTr="00F86DE2">
        <w:tc>
          <w:tcPr>
            <w:tcW w:w="2756" w:type="dxa"/>
            <w:shd w:val="clear" w:color="auto" w:fill="auto"/>
          </w:tcPr>
          <w:p w14:paraId="7A13021F" w14:textId="77777777" w:rsidR="002A499D" w:rsidRPr="002A499D" w:rsidRDefault="002A499D" w:rsidP="00F86DE2">
            <w:pPr>
              <w:rPr>
                <w:rFonts w:ascii="Calibri" w:hAnsi="Calibri" w:cs="Calibri"/>
                <w:b/>
                <w:lang w:val="en-US"/>
              </w:rPr>
            </w:pPr>
            <w:r w:rsidRPr="002A499D">
              <w:rPr>
                <w:rFonts w:ascii="Calibri" w:hAnsi="Calibri" w:cs="Calibri"/>
                <w:b/>
                <w:lang w:val="en-US"/>
              </w:rPr>
              <w:t>Redemptions</w:t>
            </w:r>
          </w:p>
        </w:tc>
        <w:tc>
          <w:tcPr>
            <w:tcW w:w="6270" w:type="dxa"/>
            <w:shd w:val="clear" w:color="auto" w:fill="auto"/>
          </w:tcPr>
          <w:p w14:paraId="2506F406" w14:textId="49266612" w:rsidR="002A499D" w:rsidRPr="002A499D" w:rsidRDefault="002A499D" w:rsidP="00F86DE2">
            <w:pPr>
              <w:pStyle w:val="BodyText"/>
              <w:spacing w:after="0"/>
              <w:rPr>
                <w:rFonts w:cs="Calibri"/>
                <w:sz w:val="20"/>
              </w:rPr>
            </w:pPr>
            <w:bookmarkStart w:id="12" w:name="_DV_M196"/>
            <w:bookmarkStart w:id="13" w:name="_DV_M197"/>
            <w:bookmarkEnd w:id="12"/>
            <w:bookmarkEnd w:id="13"/>
            <w:r w:rsidRPr="002A499D">
              <w:rPr>
                <w:rFonts w:cs="Calibri"/>
                <w:sz w:val="20"/>
              </w:rPr>
              <w:t xml:space="preserve">A Token Holder may redeem some or </w:t>
            </w:r>
            <w:proofErr w:type="gramStart"/>
            <w:r w:rsidRPr="002A499D">
              <w:rPr>
                <w:rFonts w:cs="Calibri"/>
                <w:sz w:val="20"/>
              </w:rPr>
              <w:t>all of</w:t>
            </w:r>
            <w:proofErr w:type="gramEnd"/>
            <w:r w:rsidRPr="002A499D">
              <w:rPr>
                <w:rFonts w:cs="Calibri"/>
                <w:sz w:val="20"/>
              </w:rPr>
              <w:t xml:space="preserve"> the Tokens they hold (or any fraction thereof) as of each Redemption Day at the Redemption Price, provided that, the Redemption Notice is received by the Administrator by 5pm (UAE time) at least </w:t>
            </w:r>
            <w:r w:rsidRPr="00F32C5E">
              <w:rPr>
                <w:rFonts w:cs="Calibri"/>
                <w:sz w:val="20"/>
              </w:rPr>
              <w:t>five</w:t>
            </w:r>
            <w:r w:rsidRPr="002A499D">
              <w:rPr>
                <w:rFonts w:cs="Calibri"/>
                <w:sz w:val="20"/>
              </w:rPr>
              <w:t xml:space="preserve"> Business Days prior to the proposed Redemption Day except in certain circumstances set out below.  </w:t>
            </w:r>
          </w:p>
        </w:tc>
      </w:tr>
      <w:tr w:rsidR="002A499D" w:rsidRPr="00C6107B" w14:paraId="6077D3A4" w14:textId="77777777" w:rsidTr="00F86DE2">
        <w:tc>
          <w:tcPr>
            <w:tcW w:w="2756" w:type="dxa"/>
            <w:shd w:val="clear" w:color="auto" w:fill="auto"/>
          </w:tcPr>
          <w:p w14:paraId="39EC6813" w14:textId="77777777" w:rsidR="002A499D" w:rsidRPr="002A499D" w:rsidRDefault="002A499D" w:rsidP="00F86DE2">
            <w:pPr>
              <w:rPr>
                <w:rFonts w:ascii="Calibri" w:hAnsi="Calibri" w:cs="Calibri"/>
                <w:b/>
                <w:lang w:val="en-US"/>
              </w:rPr>
            </w:pPr>
          </w:p>
        </w:tc>
        <w:tc>
          <w:tcPr>
            <w:tcW w:w="6270" w:type="dxa"/>
            <w:shd w:val="clear" w:color="auto" w:fill="auto"/>
          </w:tcPr>
          <w:p w14:paraId="3D617FFD" w14:textId="77777777" w:rsidR="002A499D" w:rsidRPr="002A499D" w:rsidRDefault="002A499D" w:rsidP="00F86DE2">
            <w:pPr>
              <w:pStyle w:val="BodyText"/>
              <w:spacing w:after="0"/>
              <w:rPr>
                <w:rFonts w:cs="Calibri"/>
                <w:sz w:val="20"/>
              </w:rPr>
            </w:pPr>
          </w:p>
        </w:tc>
      </w:tr>
      <w:tr w:rsidR="002A499D" w:rsidRPr="00C6107B" w14:paraId="4C06D9CB" w14:textId="77777777" w:rsidTr="00F86DE2">
        <w:tc>
          <w:tcPr>
            <w:tcW w:w="2756" w:type="dxa"/>
            <w:shd w:val="clear" w:color="auto" w:fill="auto"/>
          </w:tcPr>
          <w:p w14:paraId="6FFF2666" w14:textId="77777777" w:rsidR="002A499D" w:rsidRPr="002A499D" w:rsidRDefault="002A499D" w:rsidP="00F86DE2">
            <w:pPr>
              <w:rPr>
                <w:rFonts w:ascii="Calibri" w:hAnsi="Calibri" w:cs="Calibri"/>
                <w:b/>
                <w:lang w:val="en-US"/>
              </w:rPr>
            </w:pPr>
            <w:r w:rsidRPr="002A499D">
              <w:rPr>
                <w:rFonts w:ascii="Calibri" w:hAnsi="Calibri" w:cs="Calibri"/>
                <w:b/>
                <w:lang w:val="en-US"/>
              </w:rPr>
              <w:t>Redemption Day</w:t>
            </w:r>
          </w:p>
        </w:tc>
        <w:tc>
          <w:tcPr>
            <w:tcW w:w="6270" w:type="dxa"/>
            <w:shd w:val="clear" w:color="auto" w:fill="auto"/>
          </w:tcPr>
          <w:p w14:paraId="2A70FF82" w14:textId="3B2EBB1F" w:rsidR="002A499D" w:rsidRPr="002A499D" w:rsidRDefault="002A499D" w:rsidP="00F86DE2">
            <w:pPr>
              <w:pStyle w:val="BodyText"/>
              <w:spacing w:after="0"/>
              <w:rPr>
                <w:rFonts w:cs="Calibri"/>
                <w:sz w:val="20"/>
              </w:rPr>
            </w:pPr>
            <w:r w:rsidRPr="002A499D">
              <w:rPr>
                <w:rFonts w:cs="Calibri"/>
                <w:sz w:val="20"/>
              </w:rPr>
              <w:t xml:space="preserve">In respect of any Valuation Day, the Business Day immediately following such Valuation Day, and/or such other day or days as the Board may from time to time determine either generally or in any </w:t>
            </w:r>
            <w:proofErr w:type="gramStart"/>
            <w:r w:rsidRPr="002A499D">
              <w:rPr>
                <w:rFonts w:cs="Calibri"/>
                <w:sz w:val="20"/>
              </w:rPr>
              <w:t>particular case</w:t>
            </w:r>
            <w:proofErr w:type="gramEnd"/>
            <w:r w:rsidRPr="002A499D">
              <w:rPr>
                <w:rFonts w:cs="Calibri"/>
                <w:sz w:val="20"/>
              </w:rPr>
              <w:t xml:space="preserve"> (each, a </w:t>
            </w:r>
            <w:r w:rsidRPr="002A499D">
              <w:rPr>
                <w:rFonts w:cs="Calibri"/>
                <w:b/>
                <w:bCs/>
                <w:sz w:val="20"/>
              </w:rPr>
              <w:t>Redemption Day</w:t>
            </w:r>
            <w:r w:rsidRPr="002A499D">
              <w:rPr>
                <w:rFonts w:cs="Calibri"/>
                <w:sz w:val="20"/>
              </w:rPr>
              <w:t>).</w:t>
            </w:r>
          </w:p>
        </w:tc>
      </w:tr>
      <w:tr w:rsidR="002A499D" w:rsidRPr="00C6107B" w14:paraId="51B1CA04" w14:textId="77777777" w:rsidTr="00F86DE2">
        <w:tc>
          <w:tcPr>
            <w:tcW w:w="2756" w:type="dxa"/>
            <w:shd w:val="clear" w:color="auto" w:fill="auto"/>
          </w:tcPr>
          <w:p w14:paraId="3DDE2A19" w14:textId="77777777" w:rsidR="002A499D" w:rsidRPr="002A499D" w:rsidRDefault="002A499D" w:rsidP="00F86DE2">
            <w:pPr>
              <w:rPr>
                <w:rFonts w:ascii="Calibri" w:hAnsi="Calibri" w:cs="Calibri"/>
                <w:b/>
                <w:lang w:val="en-US"/>
              </w:rPr>
            </w:pPr>
          </w:p>
        </w:tc>
        <w:tc>
          <w:tcPr>
            <w:tcW w:w="6270" w:type="dxa"/>
            <w:shd w:val="clear" w:color="auto" w:fill="auto"/>
          </w:tcPr>
          <w:p w14:paraId="0F01C366" w14:textId="77777777" w:rsidR="002A499D" w:rsidRPr="002A499D" w:rsidRDefault="002A499D" w:rsidP="00F86DE2">
            <w:pPr>
              <w:pStyle w:val="BodyText"/>
              <w:spacing w:after="0"/>
              <w:rPr>
                <w:rFonts w:cs="Calibri"/>
                <w:sz w:val="20"/>
              </w:rPr>
            </w:pPr>
          </w:p>
        </w:tc>
      </w:tr>
      <w:tr w:rsidR="002A499D" w:rsidRPr="00C6107B" w14:paraId="3EE5C17D" w14:textId="77777777" w:rsidTr="00F86DE2">
        <w:tc>
          <w:tcPr>
            <w:tcW w:w="2756" w:type="dxa"/>
            <w:shd w:val="clear" w:color="auto" w:fill="auto"/>
          </w:tcPr>
          <w:p w14:paraId="2C9FCA81" w14:textId="77777777" w:rsidR="002A499D" w:rsidRPr="002A499D" w:rsidRDefault="002A499D" w:rsidP="00F86DE2">
            <w:pPr>
              <w:rPr>
                <w:rFonts w:ascii="Calibri" w:hAnsi="Calibri" w:cs="Calibri"/>
                <w:b/>
                <w:lang w:val="en-US"/>
              </w:rPr>
            </w:pPr>
            <w:r w:rsidRPr="002A499D">
              <w:rPr>
                <w:rFonts w:ascii="Calibri" w:hAnsi="Calibri" w:cs="Calibri"/>
                <w:b/>
                <w:lang w:val="en-US"/>
              </w:rPr>
              <w:lastRenderedPageBreak/>
              <w:t>Redemption Price</w:t>
            </w:r>
          </w:p>
        </w:tc>
        <w:tc>
          <w:tcPr>
            <w:tcW w:w="6270" w:type="dxa"/>
            <w:shd w:val="clear" w:color="auto" w:fill="auto"/>
          </w:tcPr>
          <w:p w14:paraId="0928828B" w14:textId="77777777" w:rsidR="002A499D" w:rsidRPr="002A499D" w:rsidRDefault="002A499D" w:rsidP="00F86DE2">
            <w:pPr>
              <w:rPr>
                <w:rFonts w:ascii="Calibri" w:hAnsi="Calibri" w:cs="Calibri"/>
              </w:rPr>
            </w:pPr>
            <w:r w:rsidRPr="002A499D">
              <w:rPr>
                <w:rFonts w:ascii="Calibri" w:hAnsi="Calibri" w:cs="Calibri"/>
              </w:rPr>
              <w:t xml:space="preserve">Valid instructions for redemption will be processed by the Board at the Redemption Price. </w:t>
            </w:r>
          </w:p>
          <w:p w14:paraId="7224D381" w14:textId="77777777" w:rsidR="002A499D" w:rsidRPr="002A499D" w:rsidRDefault="002A499D" w:rsidP="00F86DE2">
            <w:pPr>
              <w:rPr>
                <w:rFonts w:ascii="Calibri" w:hAnsi="Calibri" w:cs="Calibri"/>
              </w:rPr>
            </w:pPr>
          </w:p>
          <w:p w14:paraId="09D2E0DF" w14:textId="14B5AA1D" w:rsidR="002A499D" w:rsidRPr="002A499D" w:rsidRDefault="009118FB" w:rsidP="00F86DE2">
            <w:pPr>
              <w:rPr>
                <w:rFonts w:ascii="Calibri" w:hAnsi="Calibri" w:cs="Calibri"/>
              </w:rPr>
            </w:pPr>
            <w:r w:rsidRPr="002A499D">
              <w:rPr>
                <w:rFonts w:ascii="Calibri" w:hAnsi="Calibri" w:cs="Calibri"/>
              </w:rPr>
              <w:t xml:space="preserve">The </w:t>
            </w:r>
            <w:r w:rsidRPr="002A499D">
              <w:rPr>
                <w:rFonts w:ascii="Calibri" w:hAnsi="Calibri" w:cs="Calibri"/>
                <w:b/>
                <w:bCs/>
              </w:rPr>
              <w:t xml:space="preserve">Redemption Price </w:t>
            </w:r>
            <w:r w:rsidRPr="002A499D">
              <w:rPr>
                <w:rFonts w:ascii="Calibri" w:hAnsi="Calibri" w:cs="Calibri"/>
              </w:rPr>
              <w:t xml:space="preserve">is </w:t>
            </w:r>
            <w:r>
              <w:rPr>
                <w:rFonts w:ascii="Calibri" w:hAnsi="Calibri" w:cs="Calibri"/>
              </w:rPr>
              <w:t xml:space="preserve">the </w:t>
            </w:r>
            <w:r w:rsidRPr="002A499D">
              <w:rPr>
                <w:rFonts w:ascii="Calibri" w:hAnsi="Calibri" w:cs="Calibri"/>
              </w:rPr>
              <w:t xml:space="preserve">Net Asset Value per Token (or fraction thereof) </w:t>
            </w:r>
            <w:r>
              <w:rPr>
                <w:rFonts w:ascii="Calibri" w:hAnsi="Calibri" w:cs="Calibri"/>
              </w:rPr>
              <w:t xml:space="preserve">as at Valuation Day immediately preceding the relevant Redemption Day, </w:t>
            </w:r>
            <w:r w:rsidRPr="002A499D">
              <w:rPr>
                <w:rFonts w:ascii="Calibri" w:hAnsi="Calibri" w:cs="Calibri"/>
              </w:rPr>
              <w:t>as may be adjusted by the Redemption Spread Factor</w:t>
            </w:r>
            <w:r w:rsidR="002A499D" w:rsidRPr="002A499D">
              <w:rPr>
                <w:rFonts w:ascii="Calibri" w:hAnsi="Calibri" w:cs="Calibri"/>
              </w:rPr>
              <w:t>.</w:t>
            </w:r>
          </w:p>
          <w:p w14:paraId="7A0978CA" w14:textId="77777777" w:rsidR="002A499D" w:rsidRPr="002A499D" w:rsidRDefault="002A499D" w:rsidP="00F86DE2">
            <w:pPr>
              <w:rPr>
                <w:rFonts w:ascii="Calibri" w:hAnsi="Calibri" w:cs="Calibri"/>
              </w:rPr>
            </w:pPr>
          </w:p>
          <w:p w14:paraId="586BDCE9" w14:textId="5CE52B5F" w:rsidR="002A499D" w:rsidRPr="002A499D" w:rsidRDefault="002A499D" w:rsidP="00F86DE2">
            <w:pPr>
              <w:rPr>
                <w:rFonts w:ascii="Calibri" w:hAnsi="Calibri" w:cs="Calibri"/>
              </w:rPr>
            </w:pPr>
            <w:r w:rsidRPr="002A499D">
              <w:rPr>
                <w:rFonts w:ascii="Calibri" w:hAnsi="Calibri" w:cs="Calibri"/>
              </w:rPr>
              <w:t xml:space="preserve">For the purposes of this section, </w:t>
            </w:r>
            <w:r w:rsidRPr="002A499D">
              <w:rPr>
                <w:rFonts w:ascii="Calibri" w:hAnsi="Calibri" w:cs="Calibri"/>
                <w:b/>
                <w:bCs/>
              </w:rPr>
              <w:t>Redemption Spread Factor</w:t>
            </w:r>
            <w:r w:rsidRPr="002A499D">
              <w:rPr>
                <w:rFonts w:ascii="Calibri" w:hAnsi="Calibri" w:cs="Calibri"/>
              </w:rPr>
              <w:t xml:space="preserve"> means any additional factors determined by the Board and notified to the Token Holder ahead of their redemption to reflect any additional costs and expenses in relation to the redemption of the relevant Token (or fraction thereof), including any other accrued and unpaid costs and expensed of the Fund (and unamortised organisation expenses).</w:t>
            </w:r>
          </w:p>
          <w:p w14:paraId="3D06B67A" w14:textId="77777777" w:rsidR="002A499D" w:rsidRPr="002A499D" w:rsidRDefault="002A499D" w:rsidP="00F86DE2">
            <w:pPr>
              <w:rPr>
                <w:rFonts w:ascii="Calibri" w:hAnsi="Calibri" w:cs="Calibri"/>
              </w:rPr>
            </w:pPr>
          </w:p>
          <w:p w14:paraId="45934C5F" w14:textId="6DF63CEF" w:rsidR="002A499D" w:rsidRPr="002A499D" w:rsidRDefault="002A499D" w:rsidP="00F86DE2">
            <w:pPr>
              <w:rPr>
                <w:rFonts w:ascii="Calibri" w:hAnsi="Calibri" w:cs="Calibri"/>
              </w:rPr>
            </w:pPr>
            <w:r w:rsidRPr="002A499D">
              <w:rPr>
                <w:rFonts w:ascii="Calibri" w:hAnsi="Calibri" w:cs="Calibri"/>
              </w:rPr>
              <w:t xml:space="preserve">Payment of the redemption proceeds shall be made to the relevant Token Holder within </w:t>
            </w:r>
            <w:r w:rsidR="004E77E1">
              <w:rPr>
                <w:rFonts w:ascii="Calibri" w:hAnsi="Calibri" w:cs="Calibri"/>
              </w:rPr>
              <w:t>two</w:t>
            </w:r>
            <w:r w:rsidRPr="002A499D">
              <w:rPr>
                <w:rFonts w:ascii="Calibri" w:hAnsi="Calibri" w:cs="Calibri"/>
              </w:rPr>
              <w:t xml:space="preserve"> Business Days of the relevant day the redemption is processed.  </w:t>
            </w:r>
          </w:p>
        </w:tc>
      </w:tr>
      <w:tr w:rsidR="002A499D" w:rsidRPr="00C6107B" w14:paraId="77427C6A" w14:textId="77777777" w:rsidTr="00F86DE2">
        <w:tc>
          <w:tcPr>
            <w:tcW w:w="2756" w:type="dxa"/>
            <w:shd w:val="clear" w:color="auto" w:fill="auto"/>
          </w:tcPr>
          <w:p w14:paraId="36300755" w14:textId="77777777" w:rsidR="002A499D" w:rsidRPr="002A499D" w:rsidRDefault="002A499D" w:rsidP="00F86DE2">
            <w:pPr>
              <w:rPr>
                <w:rFonts w:ascii="Calibri" w:hAnsi="Calibri" w:cs="Calibri"/>
                <w:b/>
                <w:lang w:val="en-US"/>
              </w:rPr>
            </w:pPr>
          </w:p>
        </w:tc>
        <w:tc>
          <w:tcPr>
            <w:tcW w:w="6270" w:type="dxa"/>
            <w:shd w:val="clear" w:color="auto" w:fill="auto"/>
          </w:tcPr>
          <w:p w14:paraId="6B961221" w14:textId="77777777" w:rsidR="002A499D" w:rsidRPr="002A499D" w:rsidRDefault="002A499D" w:rsidP="00F86DE2">
            <w:pPr>
              <w:pStyle w:val="BodyText"/>
              <w:spacing w:after="0"/>
              <w:rPr>
                <w:rFonts w:cs="Calibri"/>
                <w:sz w:val="20"/>
              </w:rPr>
            </w:pPr>
          </w:p>
        </w:tc>
      </w:tr>
      <w:tr w:rsidR="002A499D" w:rsidRPr="00C6107B" w14:paraId="2A5794D2" w14:textId="77777777" w:rsidTr="00F86DE2">
        <w:tc>
          <w:tcPr>
            <w:tcW w:w="2756" w:type="dxa"/>
            <w:shd w:val="clear" w:color="auto" w:fill="auto"/>
          </w:tcPr>
          <w:p w14:paraId="4CABD53C" w14:textId="77777777" w:rsidR="002A499D" w:rsidRPr="002A499D" w:rsidRDefault="002A499D" w:rsidP="00F86DE2">
            <w:pPr>
              <w:rPr>
                <w:rFonts w:ascii="Calibri" w:hAnsi="Calibri" w:cs="Calibri"/>
                <w:b/>
                <w:lang w:val="en-US"/>
              </w:rPr>
            </w:pPr>
            <w:r w:rsidRPr="002A499D">
              <w:rPr>
                <w:rFonts w:ascii="Calibri" w:hAnsi="Calibri" w:cs="Calibri"/>
                <w:b/>
                <w:lang w:val="en-US"/>
              </w:rPr>
              <w:t>Redemption Payments Currency</w:t>
            </w:r>
          </w:p>
        </w:tc>
        <w:tc>
          <w:tcPr>
            <w:tcW w:w="6270" w:type="dxa"/>
            <w:shd w:val="clear" w:color="auto" w:fill="auto"/>
          </w:tcPr>
          <w:p w14:paraId="772039D5" w14:textId="3C1170CB" w:rsidR="002A499D" w:rsidRPr="002A499D" w:rsidRDefault="002A499D" w:rsidP="00F86DE2">
            <w:pPr>
              <w:rPr>
                <w:rFonts w:ascii="Calibri" w:hAnsi="Calibri" w:cs="Calibri"/>
                <w:lang w:val="en-US"/>
              </w:rPr>
            </w:pPr>
            <w:r w:rsidRPr="002A499D">
              <w:rPr>
                <w:rFonts w:ascii="Calibri" w:hAnsi="Calibri" w:cs="Calibri"/>
              </w:rPr>
              <w:t xml:space="preserve">Redemption payments will be made in US$ or, subject to the relevant regulatory approvals, and agreement with the relevant Token Holder, </w:t>
            </w:r>
            <w:r w:rsidR="00EC4980">
              <w:rPr>
                <w:rFonts w:ascii="Calibri" w:hAnsi="Calibri" w:cs="Calibri"/>
              </w:rPr>
              <w:t xml:space="preserve">in </w:t>
            </w:r>
            <w:r w:rsidRPr="002A499D">
              <w:rPr>
                <w:rFonts w:ascii="Calibri" w:hAnsi="Calibri" w:cs="Calibri"/>
              </w:rPr>
              <w:t xml:space="preserve">stablecoin. </w:t>
            </w:r>
          </w:p>
        </w:tc>
      </w:tr>
      <w:tr w:rsidR="002A499D" w:rsidRPr="00C6107B" w14:paraId="4CE66A9B" w14:textId="77777777" w:rsidTr="00F86DE2">
        <w:tc>
          <w:tcPr>
            <w:tcW w:w="2756" w:type="dxa"/>
            <w:shd w:val="clear" w:color="auto" w:fill="auto"/>
          </w:tcPr>
          <w:p w14:paraId="7CF4FA40" w14:textId="77777777" w:rsidR="002A499D" w:rsidRPr="002A499D" w:rsidRDefault="002A499D" w:rsidP="00F86DE2">
            <w:pPr>
              <w:rPr>
                <w:rFonts w:ascii="Calibri" w:hAnsi="Calibri" w:cs="Calibri"/>
                <w:b/>
                <w:lang w:val="en-US"/>
              </w:rPr>
            </w:pPr>
          </w:p>
        </w:tc>
        <w:tc>
          <w:tcPr>
            <w:tcW w:w="6270" w:type="dxa"/>
            <w:shd w:val="clear" w:color="auto" w:fill="auto"/>
          </w:tcPr>
          <w:p w14:paraId="5D3171C5" w14:textId="77777777" w:rsidR="002A499D" w:rsidRPr="002A499D" w:rsidRDefault="002A499D" w:rsidP="00F86DE2">
            <w:pPr>
              <w:pStyle w:val="Basic1"/>
              <w:spacing w:after="0"/>
              <w:rPr>
                <w:rFonts w:ascii="Calibri" w:hAnsi="Calibri" w:cs="Calibri"/>
              </w:rPr>
            </w:pPr>
          </w:p>
        </w:tc>
      </w:tr>
      <w:tr w:rsidR="002A499D" w:rsidRPr="00C6107B" w14:paraId="45EF14C4" w14:textId="77777777" w:rsidTr="00F86DE2">
        <w:tc>
          <w:tcPr>
            <w:tcW w:w="2756" w:type="dxa"/>
            <w:shd w:val="clear" w:color="auto" w:fill="auto"/>
          </w:tcPr>
          <w:p w14:paraId="3E94A68F" w14:textId="77777777" w:rsidR="002A499D" w:rsidRPr="002A499D" w:rsidRDefault="002A499D" w:rsidP="00F86DE2">
            <w:pPr>
              <w:rPr>
                <w:rFonts w:ascii="Calibri" w:hAnsi="Calibri" w:cs="Calibri"/>
                <w:b/>
                <w:lang w:val="en-US"/>
              </w:rPr>
            </w:pPr>
            <w:r w:rsidRPr="002A499D">
              <w:rPr>
                <w:rFonts w:ascii="Calibri" w:hAnsi="Calibri" w:cs="Calibri"/>
                <w:b/>
                <w:lang w:val="en-US"/>
              </w:rPr>
              <w:t>Redemption Fee</w:t>
            </w:r>
          </w:p>
        </w:tc>
        <w:tc>
          <w:tcPr>
            <w:tcW w:w="6270" w:type="dxa"/>
            <w:shd w:val="clear" w:color="auto" w:fill="auto"/>
          </w:tcPr>
          <w:p w14:paraId="67C68527" w14:textId="77777777" w:rsidR="002A499D" w:rsidRPr="002A499D" w:rsidRDefault="002A499D" w:rsidP="00F86DE2">
            <w:pPr>
              <w:rPr>
                <w:rFonts w:ascii="Calibri" w:hAnsi="Calibri" w:cs="Calibri"/>
                <w:lang w:val="en-US"/>
              </w:rPr>
            </w:pPr>
            <w:r w:rsidRPr="002A499D">
              <w:rPr>
                <w:rFonts w:ascii="Calibri" w:hAnsi="Calibri" w:cs="Calibri"/>
              </w:rPr>
              <w:t>US$750</w:t>
            </w:r>
          </w:p>
        </w:tc>
      </w:tr>
      <w:tr w:rsidR="002A499D" w:rsidRPr="00C6107B" w14:paraId="0E7E1AD9" w14:textId="77777777" w:rsidTr="00F86DE2">
        <w:tc>
          <w:tcPr>
            <w:tcW w:w="2756" w:type="dxa"/>
            <w:shd w:val="clear" w:color="auto" w:fill="auto"/>
          </w:tcPr>
          <w:p w14:paraId="7FFC76BF" w14:textId="77777777" w:rsidR="002A499D" w:rsidRPr="002A499D" w:rsidRDefault="002A499D" w:rsidP="00F86DE2">
            <w:pPr>
              <w:rPr>
                <w:rFonts w:ascii="Calibri" w:hAnsi="Calibri" w:cs="Calibri"/>
                <w:b/>
                <w:lang w:val="en-US"/>
              </w:rPr>
            </w:pPr>
          </w:p>
        </w:tc>
        <w:tc>
          <w:tcPr>
            <w:tcW w:w="6270" w:type="dxa"/>
            <w:shd w:val="clear" w:color="auto" w:fill="auto"/>
          </w:tcPr>
          <w:p w14:paraId="13646B89" w14:textId="77777777" w:rsidR="002A499D" w:rsidRPr="002A499D" w:rsidRDefault="002A499D" w:rsidP="00F86DE2">
            <w:pPr>
              <w:pStyle w:val="Basic1"/>
              <w:spacing w:after="0"/>
              <w:rPr>
                <w:rFonts w:ascii="Calibri" w:hAnsi="Calibri" w:cs="Calibri"/>
              </w:rPr>
            </w:pPr>
          </w:p>
        </w:tc>
      </w:tr>
      <w:tr w:rsidR="002A499D" w:rsidRPr="00C6107B" w14:paraId="5C94F400" w14:textId="77777777" w:rsidTr="00F86DE2">
        <w:tc>
          <w:tcPr>
            <w:tcW w:w="2756" w:type="dxa"/>
          </w:tcPr>
          <w:p w14:paraId="16D8B387" w14:textId="77777777" w:rsidR="002A499D" w:rsidRPr="002A499D" w:rsidRDefault="002A499D" w:rsidP="00F86DE2">
            <w:pPr>
              <w:widowControl w:val="0"/>
              <w:rPr>
                <w:rFonts w:ascii="Calibri" w:hAnsi="Calibri" w:cs="Calibri"/>
                <w:b/>
                <w:lang w:val="en-US"/>
              </w:rPr>
            </w:pPr>
            <w:r w:rsidRPr="002A499D">
              <w:rPr>
                <w:rFonts w:ascii="Calibri" w:hAnsi="Calibri" w:cs="Calibri"/>
                <w:b/>
                <w:lang w:val="en-US"/>
              </w:rPr>
              <w:t>Suspension of Dealings</w:t>
            </w:r>
          </w:p>
        </w:tc>
        <w:tc>
          <w:tcPr>
            <w:tcW w:w="6270" w:type="dxa"/>
          </w:tcPr>
          <w:p w14:paraId="126BFA78" w14:textId="77777777" w:rsidR="002A499D" w:rsidRPr="002A499D" w:rsidRDefault="002A499D" w:rsidP="00F86DE2">
            <w:pPr>
              <w:pStyle w:val="BodyText"/>
              <w:widowControl w:val="0"/>
              <w:rPr>
                <w:rFonts w:cs="Calibri"/>
                <w:sz w:val="20"/>
                <w:lang w:val="en-US"/>
              </w:rPr>
            </w:pPr>
            <w:r w:rsidRPr="002A499D">
              <w:rPr>
                <w:rFonts w:cs="Calibri"/>
                <w:sz w:val="20"/>
                <w:lang w:val="en-US"/>
              </w:rPr>
              <w:t>The Board may suspend the determination of Net Asset Value per Token and the rights of Token Holders to acquire or redeem Tokens (in whole or in part) during any period when:</w:t>
            </w:r>
          </w:p>
          <w:p w14:paraId="53747874" w14:textId="77777777" w:rsidR="002A499D" w:rsidRPr="002A499D" w:rsidRDefault="002A499D" w:rsidP="002A499D">
            <w:pPr>
              <w:pStyle w:val="BodyText"/>
              <w:widowControl w:val="0"/>
              <w:numPr>
                <w:ilvl w:val="0"/>
                <w:numId w:val="38"/>
              </w:numPr>
              <w:autoSpaceDE w:val="0"/>
              <w:autoSpaceDN w:val="0"/>
              <w:adjustRightInd w:val="0"/>
              <w:rPr>
                <w:rFonts w:cs="Calibri"/>
                <w:sz w:val="20"/>
                <w:lang w:val="en-US"/>
              </w:rPr>
            </w:pPr>
            <w:r w:rsidRPr="002A499D">
              <w:rPr>
                <w:rFonts w:cs="Calibri"/>
                <w:sz w:val="20"/>
                <w:lang w:val="en-US"/>
              </w:rPr>
              <w:t xml:space="preserve">any market or exchange on which a substantial part of Investments owned by the Fund are traded is closed, other than for ordinary holidays, or dealings thereon are restricted or </w:t>
            </w:r>
            <w:proofErr w:type="gramStart"/>
            <w:r w:rsidRPr="002A499D">
              <w:rPr>
                <w:rFonts w:cs="Calibri"/>
                <w:sz w:val="20"/>
                <w:lang w:val="en-US"/>
              </w:rPr>
              <w:t>suspended;</w:t>
            </w:r>
            <w:proofErr w:type="gramEnd"/>
          </w:p>
          <w:p w14:paraId="363DD016" w14:textId="77777777" w:rsidR="002A499D" w:rsidRPr="002A499D" w:rsidRDefault="002A499D" w:rsidP="002A499D">
            <w:pPr>
              <w:pStyle w:val="BodyText"/>
              <w:widowControl w:val="0"/>
              <w:numPr>
                <w:ilvl w:val="0"/>
                <w:numId w:val="38"/>
              </w:numPr>
              <w:autoSpaceDE w:val="0"/>
              <w:autoSpaceDN w:val="0"/>
              <w:adjustRightInd w:val="0"/>
              <w:rPr>
                <w:rFonts w:cs="Calibri"/>
                <w:sz w:val="20"/>
                <w:lang w:val="en-US"/>
              </w:rPr>
            </w:pPr>
            <w:r w:rsidRPr="002A499D">
              <w:rPr>
                <w:rFonts w:cs="Calibri"/>
                <w:sz w:val="20"/>
                <w:lang w:val="en-US"/>
              </w:rPr>
              <w:t>there exists any state of affairs that constitute a state of emergency or period of extreme volatility or illiquidity as a result of which (</w:t>
            </w:r>
            <w:proofErr w:type="spellStart"/>
            <w:r w:rsidRPr="002A499D">
              <w:rPr>
                <w:rFonts w:cs="Calibri"/>
                <w:sz w:val="20"/>
                <w:lang w:val="en-US"/>
              </w:rPr>
              <w:t>i</w:t>
            </w:r>
            <w:proofErr w:type="spellEnd"/>
            <w:r w:rsidRPr="002A499D">
              <w:rPr>
                <w:rFonts w:cs="Calibri"/>
                <w:sz w:val="20"/>
                <w:lang w:val="en-US"/>
              </w:rPr>
              <w:t>) disposal of some or all of the investments of the Fund would not be reasonably practicable or cannot be completed in a timely fashion to meet redemption requirements and might seriously prejudice the Token Holders or the Fund or (ii) it is not reasonably practicable for the Fund to determine fairly the value of its net assets;</w:t>
            </w:r>
          </w:p>
          <w:p w14:paraId="7C649C94" w14:textId="77777777" w:rsidR="002A499D" w:rsidRPr="002A499D" w:rsidRDefault="002A499D" w:rsidP="002A499D">
            <w:pPr>
              <w:pStyle w:val="BodyText"/>
              <w:widowControl w:val="0"/>
              <w:numPr>
                <w:ilvl w:val="0"/>
                <w:numId w:val="38"/>
              </w:numPr>
              <w:autoSpaceDE w:val="0"/>
              <w:autoSpaceDN w:val="0"/>
              <w:adjustRightInd w:val="0"/>
              <w:rPr>
                <w:rFonts w:cs="Calibri"/>
                <w:sz w:val="20"/>
                <w:lang w:val="en-US"/>
              </w:rPr>
            </w:pPr>
            <w:r w:rsidRPr="002A499D">
              <w:rPr>
                <w:rFonts w:cs="Calibri"/>
                <w:sz w:val="20"/>
                <w:lang w:val="en-US"/>
              </w:rPr>
              <w:t xml:space="preserve">there is a breakdown in the means of communication normally employed in determining the prices of a substantial part of the investments of the </w:t>
            </w:r>
            <w:proofErr w:type="gramStart"/>
            <w:r w:rsidRPr="002A499D">
              <w:rPr>
                <w:rFonts w:cs="Calibri"/>
                <w:sz w:val="20"/>
                <w:lang w:val="en-US"/>
              </w:rPr>
              <w:t>Fund;</w:t>
            </w:r>
            <w:proofErr w:type="gramEnd"/>
          </w:p>
          <w:p w14:paraId="3AD7C9A2" w14:textId="77777777" w:rsidR="002A499D" w:rsidRPr="002A499D" w:rsidRDefault="002A499D" w:rsidP="002A499D">
            <w:pPr>
              <w:pStyle w:val="BodyText"/>
              <w:widowControl w:val="0"/>
              <w:numPr>
                <w:ilvl w:val="0"/>
                <w:numId w:val="38"/>
              </w:numPr>
              <w:autoSpaceDE w:val="0"/>
              <w:autoSpaceDN w:val="0"/>
              <w:adjustRightInd w:val="0"/>
              <w:rPr>
                <w:rFonts w:cs="Calibri"/>
                <w:sz w:val="20"/>
                <w:lang w:val="en-US"/>
              </w:rPr>
            </w:pPr>
            <w:r w:rsidRPr="002A499D">
              <w:rPr>
                <w:rFonts w:cs="Calibri"/>
                <w:sz w:val="20"/>
                <w:lang w:val="en-US"/>
              </w:rPr>
              <w:t xml:space="preserve">none of the requests for redemption that have been made may be lawfully satisfied by the Fund in US$ or, if applicable, </w:t>
            </w:r>
            <w:proofErr w:type="gramStart"/>
            <w:r w:rsidRPr="002A499D">
              <w:rPr>
                <w:rFonts w:cs="Calibri"/>
                <w:sz w:val="20"/>
                <w:lang w:val="en-US"/>
              </w:rPr>
              <w:t>stablecoin;</w:t>
            </w:r>
            <w:proofErr w:type="gramEnd"/>
            <w:r w:rsidRPr="002A499D">
              <w:rPr>
                <w:rFonts w:cs="Calibri"/>
                <w:sz w:val="20"/>
                <w:lang w:val="en-US"/>
              </w:rPr>
              <w:t xml:space="preserve"> </w:t>
            </w:r>
          </w:p>
          <w:p w14:paraId="035F2D0A" w14:textId="77777777" w:rsidR="002A499D" w:rsidRPr="002A499D" w:rsidRDefault="002A499D" w:rsidP="002A499D">
            <w:pPr>
              <w:pStyle w:val="BodyText"/>
              <w:widowControl w:val="0"/>
              <w:numPr>
                <w:ilvl w:val="0"/>
                <w:numId w:val="38"/>
              </w:numPr>
              <w:autoSpaceDE w:val="0"/>
              <w:autoSpaceDN w:val="0"/>
              <w:adjustRightInd w:val="0"/>
              <w:rPr>
                <w:rFonts w:cs="Calibri"/>
                <w:sz w:val="20"/>
                <w:lang w:val="en-US"/>
              </w:rPr>
            </w:pPr>
            <w:r w:rsidRPr="002A499D">
              <w:rPr>
                <w:rFonts w:cs="Calibri"/>
                <w:sz w:val="20"/>
                <w:lang w:val="en-US"/>
              </w:rPr>
              <w:t>in its sole discretion, acting in good faith, a material adverse change or disruption has occurred in the financial, banking or capital markets generally, which has had or could reasonably be expected to have a material adverse effect on the Fund; or</w:t>
            </w:r>
          </w:p>
          <w:p w14:paraId="754F7C4C" w14:textId="77777777" w:rsidR="002A499D" w:rsidRPr="002A499D" w:rsidRDefault="002A499D" w:rsidP="002A499D">
            <w:pPr>
              <w:pStyle w:val="BodyText"/>
              <w:widowControl w:val="0"/>
              <w:numPr>
                <w:ilvl w:val="0"/>
                <w:numId w:val="38"/>
              </w:numPr>
              <w:autoSpaceDE w:val="0"/>
              <w:autoSpaceDN w:val="0"/>
              <w:adjustRightInd w:val="0"/>
              <w:rPr>
                <w:rFonts w:cs="Calibri"/>
                <w:sz w:val="20"/>
                <w:lang w:val="en-US"/>
              </w:rPr>
            </w:pPr>
            <w:r w:rsidRPr="002A499D">
              <w:rPr>
                <w:rFonts w:cs="Calibri"/>
                <w:sz w:val="20"/>
                <w:lang w:val="en-US"/>
              </w:rPr>
              <w:t xml:space="preserve">in its sole discretion, acting in good faith, the Board deems such to be </w:t>
            </w:r>
            <w:r w:rsidRPr="002A499D">
              <w:rPr>
                <w:rFonts w:cs="Calibri"/>
                <w:sz w:val="20"/>
                <w:lang w:val="en-US"/>
              </w:rPr>
              <w:lastRenderedPageBreak/>
              <w:t>in the interests of the Fund or the Token Holders.</w:t>
            </w:r>
          </w:p>
          <w:p w14:paraId="05605B23" w14:textId="77777777" w:rsidR="002A499D" w:rsidRPr="002A499D" w:rsidRDefault="002A499D" w:rsidP="00F86DE2">
            <w:pPr>
              <w:pStyle w:val="BodyText"/>
              <w:widowControl w:val="0"/>
              <w:spacing w:after="0"/>
              <w:rPr>
                <w:rFonts w:cs="Calibri"/>
                <w:sz w:val="20"/>
              </w:rPr>
            </w:pPr>
            <w:r w:rsidRPr="002A499D">
              <w:rPr>
                <w:rFonts w:cs="Calibri"/>
                <w:sz w:val="20"/>
                <w:lang w:val="en-US"/>
              </w:rPr>
              <w:t>When a suspension of dealings has been lifted, the Board shall treat the Token Holders who have sought to redeem Tokens during such suspension in a manner that is fair and equitable, having regard to the interest of the Fund and the Token Holders.</w:t>
            </w:r>
          </w:p>
        </w:tc>
      </w:tr>
      <w:tr w:rsidR="002A499D" w:rsidRPr="00C6107B" w14:paraId="10F065E0" w14:textId="77777777" w:rsidTr="00F86DE2">
        <w:tc>
          <w:tcPr>
            <w:tcW w:w="2756" w:type="dxa"/>
            <w:shd w:val="clear" w:color="auto" w:fill="auto"/>
          </w:tcPr>
          <w:p w14:paraId="59619D3C" w14:textId="77777777" w:rsidR="002A499D" w:rsidRPr="002A499D" w:rsidRDefault="002A499D" w:rsidP="00F86DE2">
            <w:pPr>
              <w:rPr>
                <w:rFonts w:ascii="Calibri" w:hAnsi="Calibri" w:cs="Calibri"/>
                <w:b/>
                <w:lang w:val="en-US"/>
              </w:rPr>
            </w:pPr>
          </w:p>
        </w:tc>
        <w:tc>
          <w:tcPr>
            <w:tcW w:w="6270" w:type="dxa"/>
            <w:shd w:val="clear" w:color="auto" w:fill="auto"/>
          </w:tcPr>
          <w:p w14:paraId="10D9DC98" w14:textId="77777777" w:rsidR="002A499D" w:rsidRPr="002A499D" w:rsidRDefault="002A499D" w:rsidP="00F86DE2">
            <w:pPr>
              <w:rPr>
                <w:rFonts w:ascii="Calibri" w:hAnsi="Calibri" w:cs="Calibri"/>
                <w:lang w:val="en-US"/>
              </w:rPr>
            </w:pPr>
          </w:p>
        </w:tc>
      </w:tr>
      <w:tr w:rsidR="002A499D" w:rsidRPr="00C6107B" w14:paraId="5388DAFF" w14:textId="77777777" w:rsidTr="00F86DE2">
        <w:tc>
          <w:tcPr>
            <w:tcW w:w="2756" w:type="dxa"/>
            <w:shd w:val="clear" w:color="auto" w:fill="auto"/>
          </w:tcPr>
          <w:p w14:paraId="7180EDC1" w14:textId="77777777" w:rsidR="002A499D" w:rsidRPr="002A499D" w:rsidRDefault="002A499D" w:rsidP="00F86DE2">
            <w:pPr>
              <w:rPr>
                <w:rFonts w:ascii="Calibri" w:hAnsi="Calibri" w:cs="Calibri"/>
                <w:b/>
                <w:lang w:val="en-US"/>
              </w:rPr>
            </w:pPr>
            <w:r w:rsidRPr="002A499D">
              <w:rPr>
                <w:rFonts w:ascii="Calibri" w:hAnsi="Calibri" w:cs="Calibri"/>
                <w:b/>
                <w:lang w:val="en-US"/>
              </w:rPr>
              <w:t>Gates</w:t>
            </w:r>
          </w:p>
        </w:tc>
        <w:tc>
          <w:tcPr>
            <w:tcW w:w="6270" w:type="dxa"/>
            <w:shd w:val="clear" w:color="auto" w:fill="auto"/>
          </w:tcPr>
          <w:p w14:paraId="7A2E0BD5" w14:textId="77777777" w:rsidR="002A499D" w:rsidRPr="002A499D" w:rsidRDefault="002A499D" w:rsidP="00F86DE2">
            <w:pPr>
              <w:pStyle w:val="BodyText"/>
              <w:spacing w:after="0"/>
              <w:rPr>
                <w:rFonts w:cs="Calibri"/>
                <w:sz w:val="20"/>
              </w:rPr>
            </w:pPr>
            <w:r w:rsidRPr="002A499D">
              <w:rPr>
                <w:rFonts w:cs="Calibri"/>
                <w:sz w:val="20"/>
              </w:rPr>
              <w:t>If redemption notices are received by the Fund in respect of any Redemption Day in relation to Shares with an aggregate Net Asset Value of more than 20% of the Net Asset Value of the Fund, the Fund Manager may, if it determines in good faith that it would otherwise materially adversely affect non-redeeming Token Holders, reduce each request for redemptions pursuant to such redemption notices pro rata, as between those Tokens sought to be redeemed, so that only Tokens with an aggregate Net Asset Value equal to 20% (or such higher percentage as the Fund Manager in its discretion may determine) of the Net Asset Value of Fund are redeemed on any Redemption Day</w:t>
            </w:r>
          </w:p>
        </w:tc>
      </w:tr>
      <w:tr w:rsidR="002A499D" w:rsidRPr="00C6107B" w14:paraId="0432783B" w14:textId="77777777" w:rsidTr="00F86DE2">
        <w:tc>
          <w:tcPr>
            <w:tcW w:w="2756" w:type="dxa"/>
            <w:shd w:val="clear" w:color="auto" w:fill="auto"/>
          </w:tcPr>
          <w:p w14:paraId="444642C7" w14:textId="77777777" w:rsidR="002A499D" w:rsidRPr="002A499D" w:rsidRDefault="002A499D" w:rsidP="00F86DE2">
            <w:pPr>
              <w:rPr>
                <w:rFonts w:ascii="Calibri" w:hAnsi="Calibri" w:cs="Calibri"/>
                <w:b/>
                <w:lang w:val="en-US"/>
              </w:rPr>
            </w:pPr>
          </w:p>
        </w:tc>
        <w:tc>
          <w:tcPr>
            <w:tcW w:w="6270" w:type="dxa"/>
            <w:shd w:val="clear" w:color="auto" w:fill="auto"/>
          </w:tcPr>
          <w:p w14:paraId="567C9379" w14:textId="77777777" w:rsidR="002A499D" w:rsidRPr="002A499D" w:rsidRDefault="002A499D" w:rsidP="00F86DE2">
            <w:pPr>
              <w:rPr>
                <w:rFonts w:ascii="Calibri" w:hAnsi="Calibri" w:cs="Calibri"/>
              </w:rPr>
            </w:pPr>
          </w:p>
        </w:tc>
      </w:tr>
      <w:tr w:rsidR="002A499D" w:rsidRPr="00BC0C93" w14:paraId="393307C7" w14:textId="77777777" w:rsidTr="00F86DE2">
        <w:tc>
          <w:tcPr>
            <w:tcW w:w="9026" w:type="dxa"/>
            <w:gridSpan w:val="2"/>
            <w:shd w:val="clear" w:color="auto" w:fill="D5DDE7" w:themeFill="text2" w:themeFillTint="33"/>
          </w:tcPr>
          <w:p w14:paraId="1F3B18CC" w14:textId="77777777" w:rsidR="002A499D" w:rsidRPr="002A499D" w:rsidRDefault="002A499D" w:rsidP="00F86DE2">
            <w:pPr>
              <w:rPr>
                <w:rFonts w:ascii="Calibri" w:hAnsi="Calibri" w:cs="Calibri"/>
                <w:lang w:val="en-US"/>
              </w:rPr>
            </w:pPr>
            <w:r w:rsidRPr="002A499D">
              <w:rPr>
                <w:rFonts w:ascii="Calibri" w:hAnsi="Calibri" w:cs="Calibri"/>
                <w:b/>
                <w:lang w:val="en-US"/>
              </w:rPr>
              <w:t xml:space="preserve">Call Option and Compulsory Redemption </w:t>
            </w:r>
          </w:p>
        </w:tc>
      </w:tr>
      <w:tr w:rsidR="002A499D" w:rsidRPr="00C6107B" w14:paraId="1575FB2F" w14:textId="77777777" w:rsidTr="00F86DE2">
        <w:tc>
          <w:tcPr>
            <w:tcW w:w="2756" w:type="dxa"/>
            <w:shd w:val="clear" w:color="auto" w:fill="auto"/>
          </w:tcPr>
          <w:p w14:paraId="75BE2393" w14:textId="77777777" w:rsidR="002A499D" w:rsidRPr="002A499D" w:rsidRDefault="002A499D" w:rsidP="00F86DE2">
            <w:pPr>
              <w:rPr>
                <w:rFonts w:ascii="Calibri" w:hAnsi="Calibri" w:cs="Calibri"/>
                <w:b/>
                <w:lang w:val="en-US"/>
              </w:rPr>
            </w:pPr>
          </w:p>
        </w:tc>
        <w:tc>
          <w:tcPr>
            <w:tcW w:w="6270" w:type="dxa"/>
            <w:shd w:val="clear" w:color="auto" w:fill="auto"/>
          </w:tcPr>
          <w:p w14:paraId="1A67A6C8" w14:textId="77777777" w:rsidR="002A499D" w:rsidRPr="002A499D" w:rsidRDefault="002A499D" w:rsidP="00F86DE2">
            <w:pPr>
              <w:pStyle w:val="BodyText"/>
              <w:spacing w:after="0"/>
              <w:rPr>
                <w:rFonts w:cs="Calibri"/>
                <w:sz w:val="20"/>
              </w:rPr>
            </w:pPr>
          </w:p>
        </w:tc>
      </w:tr>
      <w:tr w:rsidR="002A499D" w:rsidRPr="00C6107B" w14:paraId="0DD92A14" w14:textId="77777777" w:rsidTr="00F86DE2">
        <w:tc>
          <w:tcPr>
            <w:tcW w:w="2756" w:type="dxa"/>
            <w:shd w:val="clear" w:color="auto" w:fill="auto"/>
          </w:tcPr>
          <w:p w14:paraId="6A31FA36" w14:textId="77777777" w:rsidR="002A499D" w:rsidRPr="002A499D" w:rsidRDefault="002A499D" w:rsidP="00F86DE2">
            <w:pPr>
              <w:rPr>
                <w:rFonts w:ascii="Calibri" w:hAnsi="Calibri" w:cs="Calibri"/>
                <w:b/>
                <w:lang w:val="en-US"/>
              </w:rPr>
            </w:pPr>
            <w:r w:rsidRPr="002A499D">
              <w:rPr>
                <w:rFonts w:ascii="Calibri" w:hAnsi="Calibri" w:cs="Calibri"/>
                <w:b/>
                <w:lang w:val="en-US"/>
              </w:rPr>
              <w:t>Token Discontinuation</w:t>
            </w:r>
          </w:p>
        </w:tc>
        <w:tc>
          <w:tcPr>
            <w:tcW w:w="6270" w:type="dxa"/>
            <w:shd w:val="clear" w:color="auto" w:fill="auto"/>
          </w:tcPr>
          <w:p w14:paraId="1A58D60B" w14:textId="77777777" w:rsidR="002A499D" w:rsidRPr="002A499D" w:rsidRDefault="002A499D" w:rsidP="00F86DE2">
            <w:pPr>
              <w:pStyle w:val="BodyText"/>
              <w:rPr>
                <w:rFonts w:cs="Calibri"/>
                <w:sz w:val="20"/>
              </w:rPr>
            </w:pPr>
            <w:r w:rsidRPr="002A499D">
              <w:rPr>
                <w:rFonts w:cs="Calibri"/>
                <w:sz w:val="20"/>
              </w:rPr>
              <w:t>If an event occurs, which in the sole discretion of the Board requires a discontinuation of the Tokens (</w:t>
            </w:r>
            <w:r w:rsidRPr="002A499D">
              <w:rPr>
                <w:rFonts w:cs="Calibri"/>
                <w:b/>
                <w:bCs/>
                <w:sz w:val="20"/>
              </w:rPr>
              <w:t>Termination Event</w:t>
            </w:r>
            <w:r w:rsidRPr="002A499D">
              <w:rPr>
                <w:rFonts w:cs="Calibri"/>
                <w:sz w:val="20"/>
              </w:rPr>
              <w:t>), the Fund has the right to terminate the Tokens (</w:t>
            </w:r>
            <w:r w:rsidRPr="002A499D">
              <w:rPr>
                <w:rFonts w:cs="Calibri"/>
                <w:b/>
                <w:bCs/>
                <w:sz w:val="20"/>
              </w:rPr>
              <w:t>Fund Burn Option</w:t>
            </w:r>
            <w:r w:rsidRPr="002A499D">
              <w:rPr>
                <w:rFonts w:cs="Calibri"/>
                <w:sz w:val="20"/>
              </w:rPr>
              <w:t>) at a date of its choice (</w:t>
            </w:r>
            <w:r w:rsidRPr="002A499D">
              <w:rPr>
                <w:rFonts w:cs="Calibri"/>
                <w:b/>
                <w:bCs/>
                <w:sz w:val="20"/>
              </w:rPr>
              <w:t>Termination Date</w:t>
            </w:r>
            <w:r w:rsidRPr="002A499D">
              <w:rPr>
                <w:rFonts w:cs="Calibri"/>
                <w:sz w:val="20"/>
              </w:rPr>
              <w:t>), without providing for a specific reason, by notifying the Token Holders at the earliest possible date, in any event no later than 30 Business Days prior to the Termination Date (</w:t>
            </w:r>
            <w:r w:rsidRPr="002A499D">
              <w:rPr>
                <w:rFonts w:cs="Calibri"/>
                <w:b/>
                <w:bCs/>
                <w:sz w:val="20"/>
              </w:rPr>
              <w:t>Termination Notice</w:t>
            </w:r>
            <w:r w:rsidRPr="002A499D">
              <w:rPr>
                <w:rFonts w:cs="Calibri"/>
                <w:sz w:val="20"/>
              </w:rPr>
              <w:t xml:space="preserve">). The Fund </w:t>
            </w:r>
            <w:proofErr w:type="gramStart"/>
            <w:r w:rsidRPr="002A499D">
              <w:rPr>
                <w:rFonts w:cs="Calibri"/>
                <w:sz w:val="20"/>
              </w:rPr>
              <w:t>has to</w:t>
            </w:r>
            <w:proofErr w:type="gramEnd"/>
            <w:r w:rsidRPr="002A499D">
              <w:rPr>
                <w:rFonts w:cs="Calibri"/>
                <w:sz w:val="20"/>
              </w:rPr>
              <w:t xml:space="preserve"> notify (</w:t>
            </w:r>
            <w:proofErr w:type="spellStart"/>
            <w:r w:rsidRPr="002A499D">
              <w:rPr>
                <w:rFonts w:cs="Calibri"/>
                <w:sz w:val="20"/>
              </w:rPr>
              <w:t>i</w:t>
            </w:r>
            <w:proofErr w:type="spellEnd"/>
            <w:r w:rsidRPr="002A499D">
              <w:rPr>
                <w:rFonts w:cs="Calibri"/>
                <w:sz w:val="20"/>
              </w:rPr>
              <w:t>) Investors having subscribed their Tokens directly with the Fund by e-mail (as stated by the Token Holder in the KYC provided during the issuance process) or in other written form in the sole discretion of the Fund, and (ii) any other Token Holder not having subscribed their securities directly with the Issuer by publication on the Fund's website. The Fund Burn Option may for example (but not limited to), be exercised:</w:t>
            </w:r>
          </w:p>
          <w:p w14:paraId="5D18111A" w14:textId="77777777" w:rsidR="002A499D" w:rsidRPr="002A499D" w:rsidRDefault="002A499D" w:rsidP="002A499D">
            <w:pPr>
              <w:pStyle w:val="BodyText"/>
              <w:widowControl w:val="0"/>
              <w:numPr>
                <w:ilvl w:val="0"/>
                <w:numId w:val="39"/>
              </w:numPr>
              <w:autoSpaceDE w:val="0"/>
              <w:autoSpaceDN w:val="0"/>
              <w:adjustRightInd w:val="0"/>
              <w:rPr>
                <w:rFonts w:cs="Calibri"/>
                <w:sz w:val="20"/>
              </w:rPr>
            </w:pPr>
            <w:r w:rsidRPr="002A499D">
              <w:rPr>
                <w:rFonts w:cs="Calibri"/>
                <w:sz w:val="20"/>
              </w:rPr>
              <w:t xml:space="preserve">if the Fund has determined and documented respectively that the Investments have permanently ceased to be </w:t>
            </w:r>
            <w:proofErr w:type="gramStart"/>
            <w:r w:rsidRPr="002A499D">
              <w:rPr>
                <w:rFonts w:cs="Calibri"/>
                <w:sz w:val="20"/>
              </w:rPr>
              <w:t>liquid;</w:t>
            </w:r>
            <w:proofErr w:type="gramEnd"/>
          </w:p>
          <w:p w14:paraId="7F54F99E" w14:textId="77777777" w:rsidR="002A499D" w:rsidRPr="002A499D" w:rsidRDefault="002A499D" w:rsidP="002A499D">
            <w:pPr>
              <w:pStyle w:val="BodyText"/>
              <w:widowControl w:val="0"/>
              <w:numPr>
                <w:ilvl w:val="0"/>
                <w:numId w:val="39"/>
              </w:numPr>
              <w:autoSpaceDE w:val="0"/>
              <w:autoSpaceDN w:val="0"/>
              <w:adjustRightInd w:val="0"/>
              <w:rPr>
                <w:rFonts w:cs="Calibri"/>
                <w:sz w:val="20"/>
              </w:rPr>
            </w:pPr>
            <w:r w:rsidRPr="002A499D">
              <w:rPr>
                <w:rFonts w:cs="Calibri"/>
                <w:sz w:val="20"/>
              </w:rPr>
              <w:t>if compliance by the Fund with the obligations under the Investments or any transaction in respect of the ETFs will become unlawful or impossible in whole or in part, in particular as a result of compliance by the Fund with any future law, rule, regulation, judgement, order or directive of any governmental, administrative, legislative or judicial authority or power or controlling authority or of the relevant competent market authorities ("Regulatory Call");</w:t>
            </w:r>
          </w:p>
          <w:p w14:paraId="79F9272B" w14:textId="77777777" w:rsidR="002A499D" w:rsidRPr="002A499D" w:rsidRDefault="002A499D" w:rsidP="002A499D">
            <w:pPr>
              <w:pStyle w:val="BodyText"/>
              <w:widowControl w:val="0"/>
              <w:numPr>
                <w:ilvl w:val="0"/>
                <w:numId w:val="39"/>
              </w:numPr>
              <w:autoSpaceDE w:val="0"/>
              <w:autoSpaceDN w:val="0"/>
              <w:adjustRightInd w:val="0"/>
              <w:rPr>
                <w:rFonts w:cs="Calibri"/>
                <w:sz w:val="20"/>
              </w:rPr>
            </w:pPr>
            <w:r w:rsidRPr="002A499D">
              <w:rPr>
                <w:rFonts w:cs="Calibri"/>
                <w:sz w:val="20"/>
              </w:rPr>
              <w:t xml:space="preserve">in the event that any present or future taxes, duties or governmental charges would be imposed by any jurisdiction in which the Fund is or becomes subject to tax as a result of any change in laws or regulations of the relevant </w:t>
            </w:r>
            <w:proofErr w:type="gramStart"/>
            <w:r w:rsidRPr="002A499D">
              <w:rPr>
                <w:rFonts w:cs="Calibri"/>
                <w:sz w:val="20"/>
              </w:rPr>
              <w:t>jurisdiction;</w:t>
            </w:r>
            <w:proofErr w:type="gramEnd"/>
          </w:p>
          <w:p w14:paraId="666097BA" w14:textId="77777777" w:rsidR="002A499D" w:rsidRPr="002A499D" w:rsidRDefault="002A499D" w:rsidP="002A499D">
            <w:pPr>
              <w:pStyle w:val="BodyText"/>
              <w:widowControl w:val="0"/>
              <w:numPr>
                <w:ilvl w:val="0"/>
                <w:numId w:val="39"/>
              </w:numPr>
              <w:autoSpaceDE w:val="0"/>
              <w:autoSpaceDN w:val="0"/>
              <w:adjustRightInd w:val="0"/>
              <w:rPr>
                <w:rFonts w:cs="Calibri"/>
                <w:sz w:val="20"/>
              </w:rPr>
            </w:pPr>
            <w:r w:rsidRPr="002A499D">
              <w:rPr>
                <w:rFonts w:cs="Calibri"/>
                <w:sz w:val="20"/>
              </w:rPr>
              <w:t xml:space="preserve">in the event a major service provider stops providing its services, such as, but not limited to, brokerage services, paying account provider services, tokenization services, security agent services, securities custody services or KYC </w:t>
            </w:r>
            <w:proofErr w:type="gramStart"/>
            <w:r w:rsidRPr="002A499D">
              <w:rPr>
                <w:rFonts w:cs="Calibri"/>
                <w:sz w:val="20"/>
              </w:rPr>
              <w:t>services;</w:t>
            </w:r>
            <w:proofErr w:type="gramEnd"/>
          </w:p>
          <w:p w14:paraId="22A9A532" w14:textId="77777777" w:rsidR="002A499D" w:rsidRPr="002A499D" w:rsidRDefault="002A499D" w:rsidP="002A499D">
            <w:pPr>
              <w:pStyle w:val="BodyText"/>
              <w:widowControl w:val="0"/>
              <w:numPr>
                <w:ilvl w:val="0"/>
                <w:numId w:val="39"/>
              </w:numPr>
              <w:autoSpaceDE w:val="0"/>
              <w:autoSpaceDN w:val="0"/>
              <w:adjustRightInd w:val="0"/>
              <w:rPr>
                <w:rFonts w:cs="Calibri"/>
                <w:sz w:val="20"/>
              </w:rPr>
            </w:pPr>
            <w:r w:rsidRPr="002A499D">
              <w:rPr>
                <w:rFonts w:cs="Calibri"/>
                <w:sz w:val="20"/>
              </w:rPr>
              <w:t xml:space="preserve">in the event of the ETFs having a fixed maturity date and the ETFs having reached their </w:t>
            </w:r>
            <w:proofErr w:type="gramStart"/>
            <w:r w:rsidRPr="002A499D">
              <w:rPr>
                <w:rFonts w:cs="Calibri"/>
                <w:sz w:val="20"/>
              </w:rPr>
              <w:t>maturity;</w:t>
            </w:r>
            <w:proofErr w:type="gramEnd"/>
          </w:p>
          <w:p w14:paraId="613334D8" w14:textId="77777777" w:rsidR="002A499D" w:rsidRPr="002A499D" w:rsidRDefault="002A499D" w:rsidP="002A499D">
            <w:pPr>
              <w:pStyle w:val="BodyText"/>
              <w:widowControl w:val="0"/>
              <w:numPr>
                <w:ilvl w:val="0"/>
                <w:numId w:val="39"/>
              </w:numPr>
              <w:autoSpaceDE w:val="0"/>
              <w:autoSpaceDN w:val="0"/>
              <w:adjustRightInd w:val="0"/>
              <w:spacing w:after="0"/>
              <w:ind w:left="357" w:hanging="357"/>
              <w:rPr>
                <w:rFonts w:cs="Calibri"/>
                <w:sz w:val="20"/>
              </w:rPr>
            </w:pPr>
            <w:proofErr w:type="gramStart"/>
            <w:r w:rsidRPr="002A499D">
              <w:rPr>
                <w:rFonts w:cs="Calibri"/>
                <w:sz w:val="20"/>
              </w:rPr>
              <w:t>in the event that</w:t>
            </w:r>
            <w:proofErr w:type="gramEnd"/>
            <w:r w:rsidRPr="002A499D">
              <w:rPr>
                <w:rFonts w:cs="Calibri"/>
                <w:sz w:val="20"/>
              </w:rPr>
              <w:t xml:space="preserve"> the Fund infers that technological and/or operational </w:t>
            </w:r>
            <w:r w:rsidRPr="002A499D">
              <w:rPr>
                <w:rFonts w:cs="Calibri"/>
                <w:sz w:val="20"/>
              </w:rPr>
              <w:lastRenderedPageBreak/>
              <w:t>risks related to the ledger-based technology being used have significantly increased.</w:t>
            </w:r>
          </w:p>
          <w:p w14:paraId="047F3FD4" w14:textId="77777777" w:rsidR="002A499D" w:rsidRPr="002A499D" w:rsidRDefault="002A499D" w:rsidP="00F86DE2">
            <w:pPr>
              <w:pStyle w:val="BodyText"/>
              <w:widowControl w:val="0"/>
              <w:spacing w:after="0"/>
              <w:rPr>
                <w:rFonts w:cs="Calibri"/>
                <w:sz w:val="20"/>
              </w:rPr>
            </w:pPr>
          </w:p>
          <w:p w14:paraId="20C05713" w14:textId="6126ACA9" w:rsidR="002A499D" w:rsidRPr="002A499D" w:rsidRDefault="002A499D" w:rsidP="00F86DE2">
            <w:pPr>
              <w:pStyle w:val="BodyText"/>
              <w:widowControl w:val="0"/>
              <w:spacing w:after="0"/>
              <w:rPr>
                <w:rFonts w:cs="Calibri"/>
                <w:sz w:val="20"/>
              </w:rPr>
            </w:pPr>
            <w:r w:rsidRPr="002A499D">
              <w:rPr>
                <w:rFonts w:cs="Calibri"/>
                <w:sz w:val="20"/>
              </w:rPr>
              <w:t>In the event of a Fund Burn Option, the Fund shall retain all the proceeds arising from the liquidation of the Fund assets in a bank account and will distribute the proceeds to Token Holders based on the NAV of the Tokens at the Termination Date.</w:t>
            </w:r>
          </w:p>
        </w:tc>
      </w:tr>
      <w:tr w:rsidR="002A499D" w:rsidRPr="00C6107B" w14:paraId="39DD0FCC" w14:textId="77777777" w:rsidTr="00F86DE2">
        <w:tc>
          <w:tcPr>
            <w:tcW w:w="2756" w:type="dxa"/>
            <w:shd w:val="clear" w:color="auto" w:fill="auto"/>
          </w:tcPr>
          <w:p w14:paraId="5F300141" w14:textId="77777777" w:rsidR="002A499D" w:rsidRPr="002A499D" w:rsidRDefault="002A499D" w:rsidP="00F86DE2">
            <w:pPr>
              <w:rPr>
                <w:rFonts w:ascii="Calibri" w:hAnsi="Calibri" w:cs="Calibri"/>
                <w:b/>
                <w:lang w:val="en-US"/>
              </w:rPr>
            </w:pPr>
          </w:p>
        </w:tc>
        <w:tc>
          <w:tcPr>
            <w:tcW w:w="6270" w:type="dxa"/>
            <w:shd w:val="clear" w:color="auto" w:fill="auto"/>
          </w:tcPr>
          <w:p w14:paraId="4FACF919" w14:textId="77777777" w:rsidR="002A499D" w:rsidRPr="002A499D" w:rsidRDefault="002A499D" w:rsidP="00F86DE2">
            <w:pPr>
              <w:pStyle w:val="BodyText"/>
              <w:spacing w:after="0"/>
              <w:rPr>
                <w:rFonts w:cs="Calibri"/>
                <w:sz w:val="20"/>
              </w:rPr>
            </w:pPr>
          </w:p>
        </w:tc>
      </w:tr>
      <w:tr w:rsidR="002A499D" w:rsidRPr="00C6107B" w14:paraId="162C84EF" w14:textId="77777777" w:rsidTr="00F86DE2">
        <w:tc>
          <w:tcPr>
            <w:tcW w:w="2756" w:type="dxa"/>
            <w:shd w:val="clear" w:color="auto" w:fill="auto"/>
          </w:tcPr>
          <w:p w14:paraId="70B3C52C" w14:textId="77777777" w:rsidR="002A499D" w:rsidRPr="002A499D" w:rsidRDefault="002A499D" w:rsidP="00F86DE2">
            <w:pPr>
              <w:rPr>
                <w:rFonts w:ascii="Calibri" w:hAnsi="Calibri" w:cs="Calibri"/>
                <w:b/>
                <w:lang w:val="en-US"/>
              </w:rPr>
            </w:pPr>
            <w:r w:rsidRPr="002A499D">
              <w:rPr>
                <w:rFonts w:ascii="Calibri" w:hAnsi="Calibri" w:cs="Calibri"/>
                <w:b/>
                <w:lang w:val="en-US"/>
              </w:rPr>
              <w:t>Compulsory Redemption</w:t>
            </w:r>
          </w:p>
        </w:tc>
        <w:tc>
          <w:tcPr>
            <w:tcW w:w="6270" w:type="dxa"/>
            <w:shd w:val="clear" w:color="auto" w:fill="auto"/>
          </w:tcPr>
          <w:p w14:paraId="3BA00E70" w14:textId="77777777" w:rsidR="002A499D" w:rsidRPr="002A499D" w:rsidRDefault="002A499D" w:rsidP="00F86DE2">
            <w:pPr>
              <w:pStyle w:val="Basic1"/>
              <w:spacing w:after="0"/>
              <w:rPr>
                <w:rFonts w:ascii="Calibri" w:hAnsi="Calibri" w:cs="Calibri"/>
              </w:rPr>
            </w:pPr>
            <w:bookmarkStart w:id="14" w:name="_DV_M198"/>
            <w:bookmarkEnd w:id="14"/>
            <w:r w:rsidRPr="002A499D">
              <w:rPr>
                <w:rFonts w:ascii="Calibri" w:hAnsi="Calibri" w:cs="Calibri"/>
              </w:rPr>
              <w:t>The Fund may compulsorily redeem all or any of the Tokens (or any fraction of a Token held by a Token Holder) at any time for any reason, including, if, in the opinion of the Board, the subscription for, or holding of, Tokens (or any fraction thereof) by such person is, was or may be in any way unlawful or detrimental to the interests or well-being of the Fund, or if such a person is a sanctioned person.</w:t>
            </w:r>
          </w:p>
          <w:p w14:paraId="0656B66F" w14:textId="77777777" w:rsidR="002A499D" w:rsidRPr="002A499D" w:rsidRDefault="002A499D" w:rsidP="00F86DE2">
            <w:pPr>
              <w:pStyle w:val="Basic1"/>
              <w:spacing w:after="0"/>
              <w:rPr>
                <w:rFonts w:ascii="Calibri" w:hAnsi="Calibri" w:cs="Calibri"/>
              </w:rPr>
            </w:pPr>
          </w:p>
          <w:p w14:paraId="47A16856" w14:textId="4B994D5B" w:rsidR="002A499D" w:rsidRPr="002A499D" w:rsidRDefault="002A499D" w:rsidP="00F86DE2">
            <w:pPr>
              <w:pStyle w:val="Basic1"/>
              <w:spacing w:after="0"/>
              <w:rPr>
                <w:rFonts w:ascii="Calibri" w:hAnsi="Calibri" w:cs="Calibri"/>
              </w:rPr>
            </w:pPr>
            <w:r w:rsidRPr="002A499D">
              <w:rPr>
                <w:rFonts w:ascii="Calibri" w:hAnsi="Calibri" w:cs="Calibri"/>
              </w:rPr>
              <w:t>In the event of a compulsory redemption, the Fund shall retain all the proceeds arising from the liquidation of the Fund assets in a bank account and will distribute the proceeds to the relevant Token Holder based on the NAV of the Tokens at the date of the compulsory redemption.</w:t>
            </w:r>
          </w:p>
        </w:tc>
      </w:tr>
      <w:tr w:rsidR="002A499D" w:rsidRPr="00C6107B" w14:paraId="32BA9C9B" w14:textId="77777777" w:rsidTr="00F86DE2">
        <w:tc>
          <w:tcPr>
            <w:tcW w:w="2756" w:type="dxa"/>
            <w:shd w:val="clear" w:color="auto" w:fill="auto"/>
          </w:tcPr>
          <w:p w14:paraId="44F4888F" w14:textId="77777777" w:rsidR="002A499D" w:rsidRPr="002A499D" w:rsidRDefault="002A499D" w:rsidP="00F86DE2">
            <w:pPr>
              <w:rPr>
                <w:rFonts w:ascii="Calibri" w:hAnsi="Calibri" w:cs="Calibri"/>
                <w:b/>
                <w:lang w:val="en-US"/>
              </w:rPr>
            </w:pPr>
          </w:p>
        </w:tc>
        <w:tc>
          <w:tcPr>
            <w:tcW w:w="6270" w:type="dxa"/>
            <w:shd w:val="clear" w:color="auto" w:fill="auto"/>
          </w:tcPr>
          <w:p w14:paraId="7427B794" w14:textId="77777777" w:rsidR="002A499D" w:rsidRPr="002A499D" w:rsidRDefault="002A499D" w:rsidP="00F86DE2">
            <w:pPr>
              <w:rPr>
                <w:rFonts w:ascii="Calibri" w:hAnsi="Calibri" w:cs="Calibri"/>
              </w:rPr>
            </w:pPr>
          </w:p>
        </w:tc>
      </w:tr>
      <w:tr w:rsidR="002A499D" w:rsidRPr="00BC0C93" w14:paraId="4ECDCF60" w14:textId="77777777" w:rsidTr="00F86DE2">
        <w:tc>
          <w:tcPr>
            <w:tcW w:w="9026" w:type="dxa"/>
            <w:gridSpan w:val="2"/>
            <w:shd w:val="clear" w:color="auto" w:fill="D5DDE7" w:themeFill="text2" w:themeFillTint="33"/>
          </w:tcPr>
          <w:p w14:paraId="3C16B941" w14:textId="77777777" w:rsidR="002A499D" w:rsidRPr="002A499D" w:rsidRDefault="002A499D" w:rsidP="00F86DE2">
            <w:pPr>
              <w:rPr>
                <w:rFonts w:ascii="Calibri" w:hAnsi="Calibri" w:cs="Calibri"/>
                <w:lang w:val="en-US"/>
              </w:rPr>
            </w:pPr>
            <w:r w:rsidRPr="002A499D">
              <w:rPr>
                <w:rFonts w:ascii="Calibri" w:hAnsi="Calibri" w:cs="Calibri"/>
                <w:b/>
                <w:lang w:val="en-US"/>
              </w:rPr>
              <w:t>Fees and Expenses</w:t>
            </w:r>
          </w:p>
        </w:tc>
      </w:tr>
      <w:tr w:rsidR="002A499D" w:rsidRPr="00C6107B" w14:paraId="1C2911C7" w14:textId="77777777" w:rsidTr="00F86DE2">
        <w:tc>
          <w:tcPr>
            <w:tcW w:w="2756" w:type="dxa"/>
            <w:shd w:val="clear" w:color="auto" w:fill="auto"/>
          </w:tcPr>
          <w:p w14:paraId="48996AC5" w14:textId="77777777" w:rsidR="002A499D" w:rsidRPr="002A499D" w:rsidRDefault="002A499D" w:rsidP="00F86DE2">
            <w:pPr>
              <w:rPr>
                <w:rFonts w:ascii="Calibri" w:hAnsi="Calibri" w:cs="Calibri"/>
                <w:b/>
                <w:lang w:val="en-US"/>
              </w:rPr>
            </w:pPr>
          </w:p>
        </w:tc>
        <w:tc>
          <w:tcPr>
            <w:tcW w:w="6270" w:type="dxa"/>
            <w:shd w:val="clear" w:color="auto" w:fill="auto"/>
          </w:tcPr>
          <w:p w14:paraId="40A1D9B0" w14:textId="77777777" w:rsidR="002A499D" w:rsidRPr="002A499D" w:rsidRDefault="002A499D" w:rsidP="00F86DE2">
            <w:pPr>
              <w:rPr>
                <w:rFonts w:ascii="Calibri" w:hAnsi="Calibri" w:cs="Calibri"/>
              </w:rPr>
            </w:pPr>
          </w:p>
        </w:tc>
      </w:tr>
      <w:tr w:rsidR="002A499D" w:rsidRPr="00C6107B" w14:paraId="0A7B94B1" w14:textId="77777777" w:rsidTr="00F86DE2">
        <w:tc>
          <w:tcPr>
            <w:tcW w:w="2756" w:type="dxa"/>
            <w:shd w:val="clear" w:color="auto" w:fill="auto"/>
          </w:tcPr>
          <w:p w14:paraId="6B2A6703" w14:textId="77777777" w:rsidR="002A499D" w:rsidRPr="002A499D" w:rsidRDefault="002A499D" w:rsidP="00F86DE2">
            <w:pPr>
              <w:rPr>
                <w:rFonts w:ascii="Calibri" w:hAnsi="Calibri" w:cs="Calibri"/>
                <w:b/>
                <w:lang w:val="en-US"/>
              </w:rPr>
            </w:pPr>
            <w:r w:rsidRPr="002A499D">
              <w:rPr>
                <w:rFonts w:ascii="Calibri" w:hAnsi="Calibri" w:cs="Calibri"/>
                <w:b/>
                <w:lang w:val="en-US"/>
              </w:rPr>
              <w:t>Management Fee</w:t>
            </w:r>
          </w:p>
        </w:tc>
        <w:tc>
          <w:tcPr>
            <w:tcW w:w="6270" w:type="dxa"/>
            <w:shd w:val="clear" w:color="auto" w:fill="auto"/>
          </w:tcPr>
          <w:p w14:paraId="094DD89C" w14:textId="5EBDB2BA" w:rsidR="002A499D" w:rsidRPr="002A499D" w:rsidRDefault="002A499D" w:rsidP="00F32C5E">
            <w:pPr>
              <w:widowControl w:val="0"/>
              <w:rPr>
                <w:rFonts w:ascii="Calibri" w:hAnsi="Calibri" w:cs="Calibri"/>
              </w:rPr>
            </w:pPr>
            <w:r w:rsidRPr="002A499D">
              <w:rPr>
                <w:rFonts w:ascii="Calibri" w:hAnsi="Calibri" w:cs="Calibri"/>
              </w:rPr>
              <w:t>The Fund shall not pay any management fee to the Fund</w:t>
            </w:r>
            <w:r w:rsidR="00F32C5E">
              <w:rPr>
                <w:rFonts w:ascii="Calibri" w:hAnsi="Calibri" w:cs="Calibri"/>
              </w:rPr>
              <w:t>.</w:t>
            </w:r>
            <w:r w:rsidR="00EC4980">
              <w:rPr>
                <w:rFonts w:ascii="Calibri" w:hAnsi="Calibri" w:cs="Calibri"/>
              </w:rPr>
              <w:t xml:space="preserve"> </w:t>
            </w:r>
            <w:r w:rsidR="00F32C5E">
              <w:rPr>
                <w:rFonts w:ascii="Calibri" w:hAnsi="Calibri" w:cs="Calibri"/>
              </w:rPr>
              <w:t xml:space="preserve">The Fund Manager shall be paid a fee by the </w:t>
            </w:r>
            <w:proofErr w:type="spellStart"/>
            <w:r w:rsidR="00F32C5E">
              <w:rPr>
                <w:rFonts w:ascii="Calibri" w:hAnsi="Calibri" w:cs="Calibri"/>
              </w:rPr>
              <w:t>Tokenisor</w:t>
            </w:r>
            <w:proofErr w:type="spellEnd"/>
            <w:r w:rsidR="00F32C5E">
              <w:rPr>
                <w:rFonts w:ascii="Calibri" w:hAnsi="Calibri" w:cs="Calibri"/>
              </w:rPr>
              <w:t xml:space="preserve"> in such amount agreed between them</w:t>
            </w:r>
            <w:r w:rsidRPr="002A499D">
              <w:rPr>
                <w:rFonts w:ascii="Calibri" w:hAnsi="Calibri" w:cs="Calibri"/>
              </w:rPr>
              <w:t>.</w:t>
            </w:r>
          </w:p>
        </w:tc>
      </w:tr>
      <w:tr w:rsidR="002A499D" w:rsidRPr="00C6107B" w14:paraId="53625F75" w14:textId="77777777" w:rsidTr="00F86DE2">
        <w:tc>
          <w:tcPr>
            <w:tcW w:w="2756" w:type="dxa"/>
            <w:shd w:val="clear" w:color="auto" w:fill="auto"/>
          </w:tcPr>
          <w:p w14:paraId="420410BC" w14:textId="77777777" w:rsidR="002A499D" w:rsidRPr="002A499D" w:rsidRDefault="002A499D" w:rsidP="00F86DE2">
            <w:pPr>
              <w:rPr>
                <w:rFonts w:ascii="Calibri" w:hAnsi="Calibri" w:cs="Calibri"/>
                <w:b/>
                <w:lang w:val="en-US"/>
              </w:rPr>
            </w:pPr>
          </w:p>
        </w:tc>
        <w:tc>
          <w:tcPr>
            <w:tcW w:w="6270" w:type="dxa"/>
            <w:shd w:val="clear" w:color="auto" w:fill="auto"/>
          </w:tcPr>
          <w:p w14:paraId="3102CC3F" w14:textId="77777777" w:rsidR="002A499D" w:rsidRPr="002A499D" w:rsidRDefault="002A499D" w:rsidP="00F86DE2">
            <w:pPr>
              <w:rPr>
                <w:rFonts w:ascii="Calibri" w:hAnsi="Calibri" w:cs="Calibri"/>
              </w:rPr>
            </w:pPr>
          </w:p>
        </w:tc>
      </w:tr>
      <w:tr w:rsidR="002A499D" w:rsidRPr="00C6107B" w14:paraId="7ABE2990" w14:textId="77777777" w:rsidTr="00F86DE2">
        <w:tc>
          <w:tcPr>
            <w:tcW w:w="2756" w:type="dxa"/>
            <w:shd w:val="clear" w:color="auto" w:fill="auto"/>
          </w:tcPr>
          <w:p w14:paraId="7FF4EBC8" w14:textId="77777777" w:rsidR="002A499D" w:rsidRPr="002A499D" w:rsidRDefault="002A499D" w:rsidP="00F86DE2">
            <w:pPr>
              <w:rPr>
                <w:rFonts w:ascii="Calibri" w:hAnsi="Calibri" w:cs="Calibri"/>
                <w:b/>
                <w:lang w:val="en-US"/>
              </w:rPr>
            </w:pPr>
            <w:r w:rsidRPr="002A499D">
              <w:rPr>
                <w:rFonts w:ascii="Calibri" w:hAnsi="Calibri" w:cs="Calibri"/>
                <w:b/>
                <w:lang w:val="en-US"/>
              </w:rPr>
              <w:t>Performance Fee</w:t>
            </w:r>
          </w:p>
        </w:tc>
        <w:tc>
          <w:tcPr>
            <w:tcW w:w="6270" w:type="dxa"/>
            <w:shd w:val="clear" w:color="auto" w:fill="auto"/>
          </w:tcPr>
          <w:p w14:paraId="72066784" w14:textId="77777777" w:rsidR="002A499D" w:rsidRPr="002A499D" w:rsidRDefault="002A499D" w:rsidP="00F86DE2">
            <w:pPr>
              <w:rPr>
                <w:rFonts w:ascii="Calibri" w:hAnsi="Calibri" w:cs="Calibri"/>
              </w:rPr>
            </w:pPr>
            <w:r w:rsidRPr="002A499D">
              <w:rPr>
                <w:rFonts w:ascii="Calibri" w:hAnsi="Calibri" w:cs="Calibri"/>
              </w:rPr>
              <w:t>Zero</w:t>
            </w:r>
          </w:p>
        </w:tc>
      </w:tr>
      <w:tr w:rsidR="002A499D" w:rsidRPr="00C6107B" w14:paraId="25F4AB44" w14:textId="77777777" w:rsidTr="00F86DE2">
        <w:tc>
          <w:tcPr>
            <w:tcW w:w="2756" w:type="dxa"/>
            <w:shd w:val="clear" w:color="auto" w:fill="auto"/>
          </w:tcPr>
          <w:p w14:paraId="6C4D67D4" w14:textId="77777777" w:rsidR="002A499D" w:rsidRPr="002A499D" w:rsidRDefault="002A499D" w:rsidP="00F86DE2">
            <w:pPr>
              <w:rPr>
                <w:rFonts w:ascii="Calibri" w:hAnsi="Calibri" w:cs="Calibri"/>
                <w:b/>
                <w:lang w:val="en-US"/>
              </w:rPr>
            </w:pPr>
          </w:p>
        </w:tc>
        <w:tc>
          <w:tcPr>
            <w:tcW w:w="6270" w:type="dxa"/>
            <w:shd w:val="clear" w:color="auto" w:fill="auto"/>
          </w:tcPr>
          <w:p w14:paraId="70952D38" w14:textId="77777777" w:rsidR="002A499D" w:rsidRPr="002A499D" w:rsidRDefault="002A499D" w:rsidP="00F86DE2">
            <w:pPr>
              <w:rPr>
                <w:rFonts w:ascii="Calibri" w:hAnsi="Calibri" w:cs="Calibri"/>
              </w:rPr>
            </w:pPr>
          </w:p>
        </w:tc>
      </w:tr>
      <w:tr w:rsidR="002A499D" w:rsidRPr="00C6107B" w14:paraId="5BF847C0" w14:textId="77777777" w:rsidTr="00F86DE2">
        <w:tc>
          <w:tcPr>
            <w:tcW w:w="2756" w:type="dxa"/>
          </w:tcPr>
          <w:p w14:paraId="365B152A" w14:textId="77777777" w:rsidR="002A499D" w:rsidRPr="002A499D" w:rsidRDefault="002A499D" w:rsidP="00F86DE2">
            <w:pPr>
              <w:widowControl w:val="0"/>
              <w:rPr>
                <w:rFonts w:ascii="Calibri" w:hAnsi="Calibri" w:cs="Calibri"/>
                <w:b/>
                <w:lang w:val="en-US"/>
              </w:rPr>
            </w:pPr>
            <w:r w:rsidRPr="002A499D">
              <w:rPr>
                <w:rFonts w:ascii="Calibri" w:hAnsi="Calibri" w:cs="Calibri"/>
                <w:b/>
                <w:lang w:val="en-US"/>
              </w:rPr>
              <w:t xml:space="preserve">Subscription Fee  </w:t>
            </w:r>
          </w:p>
        </w:tc>
        <w:tc>
          <w:tcPr>
            <w:tcW w:w="6270" w:type="dxa"/>
          </w:tcPr>
          <w:p w14:paraId="5F47AE58" w14:textId="77777777" w:rsidR="002A499D" w:rsidRPr="002A499D" w:rsidRDefault="002A499D" w:rsidP="00F86DE2">
            <w:pPr>
              <w:widowControl w:val="0"/>
              <w:rPr>
                <w:rFonts w:ascii="Calibri" w:hAnsi="Calibri" w:cs="Calibri"/>
              </w:rPr>
            </w:pPr>
            <w:r w:rsidRPr="002A499D">
              <w:rPr>
                <w:rFonts w:ascii="Calibri" w:hAnsi="Calibri" w:cs="Calibri"/>
              </w:rPr>
              <w:t>Zero</w:t>
            </w:r>
          </w:p>
        </w:tc>
      </w:tr>
      <w:tr w:rsidR="002A499D" w:rsidRPr="00C6107B" w14:paraId="3D166823" w14:textId="77777777" w:rsidTr="00F86DE2">
        <w:tc>
          <w:tcPr>
            <w:tcW w:w="2756" w:type="dxa"/>
            <w:shd w:val="clear" w:color="auto" w:fill="auto"/>
          </w:tcPr>
          <w:p w14:paraId="5EE56C29" w14:textId="77777777" w:rsidR="002A499D" w:rsidRPr="002A499D" w:rsidRDefault="002A499D" w:rsidP="00F86DE2">
            <w:pPr>
              <w:rPr>
                <w:rFonts w:ascii="Calibri" w:hAnsi="Calibri" w:cs="Calibri"/>
                <w:b/>
              </w:rPr>
            </w:pPr>
          </w:p>
        </w:tc>
        <w:tc>
          <w:tcPr>
            <w:tcW w:w="6270" w:type="dxa"/>
            <w:shd w:val="clear" w:color="auto" w:fill="auto"/>
          </w:tcPr>
          <w:p w14:paraId="227351D0" w14:textId="77777777" w:rsidR="002A499D" w:rsidRPr="002A499D" w:rsidRDefault="002A499D" w:rsidP="00F86DE2">
            <w:pPr>
              <w:rPr>
                <w:rFonts w:ascii="Calibri" w:hAnsi="Calibri" w:cs="Calibri"/>
                <w:lang w:val="en-US"/>
              </w:rPr>
            </w:pPr>
          </w:p>
        </w:tc>
      </w:tr>
      <w:tr w:rsidR="002A499D" w:rsidRPr="00C6107B" w14:paraId="6C0C03D5" w14:textId="77777777" w:rsidTr="00F86DE2">
        <w:tc>
          <w:tcPr>
            <w:tcW w:w="2756" w:type="dxa"/>
          </w:tcPr>
          <w:p w14:paraId="1FA5DCCF" w14:textId="77777777" w:rsidR="002A499D" w:rsidRPr="002A499D" w:rsidRDefault="002A499D" w:rsidP="00F86DE2">
            <w:pPr>
              <w:widowControl w:val="0"/>
              <w:rPr>
                <w:rFonts w:ascii="Calibri" w:hAnsi="Calibri" w:cs="Calibri"/>
                <w:b/>
                <w:lang w:val="en-US"/>
              </w:rPr>
            </w:pPr>
            <w:r w:rsidRPr="002A499D">
              <w:rPr>
                <w:rFonts w:ascii="Calibri" w:hAnsi="Calibri" w:cs="Calibri"/>
                <w:b/>
                <w:lang w:val="en-US"/>
              </w:rPr>
              <w:t xml:space="preserve">Technical Services Fee  </w:t>
            </w:r>
          </w:p>
        </w:tc>
        <w:tc>
          <w:tcPr>
            <w:tcW w:w="6270" w:type="dxa"/>
          </w:tcPr>
          <w:p w14:paraId="3914BFBA" w14:textId="6B98F1EA" w:rsidR="002A499D" w:rsidRPr="00F32C5E" w:rsidRDefault="009118FB" w:rsidP="00F86DE2">
            <w:pPr>
              <w:widowControl w:val="0"/>
              <w:rPr>
                <w:rFonts w:ascii="Calibri" w:hAnsi="Calibri" w:cs="Calibri"/>
              </w:rPr>
            </w:pPr>
            <w:r>
              <w:rPr>
                <w:rFonts w:ascii="Calibri" w:hAnsi="Calibri" w:cs="Calibri"/>
              </w:rPr>
              <w:t xml:space="preserve">Technical Services Fee of </w:t>
            </w:r>
            <w:r w:rsidRPr="00F32C5E">
              <w:rPr>
                <w:rFonts w:ascii="Calibri" w:hAnsi="Calibri" w:cs="Calibri"/>
              </w:rPr>
              <w:t xml:space="preserve">0.1% </w:t>
            </w:r>
            <w:r>
              <w:rPr>
                <w:rFonts w:ascii="Calibri" w:hAnsi="Calibri" w:cs="Calibri"/>
              </w:rPr>
              <w:t>o</w:t>
            </w:r>
            <w:r w:rsidRPr="00F32C5E">
              <w:rPr>
                <w:rFonts w:ascii="Calibri" w:hAnsi="Calibri" w:cs="Calibri"/>
              </w:rPr>
              <w:t xml:space="preserve">f the </w:t>
            </w:r>
            <w:r>
              <w:rPr>
                <w:rFonts w:ascii="Calibri" w:hAnsi="Calibri" w:cs="Calibri"/>
              </w:rPr>
              <w:t>Net Asset Value</w:t>
            </w:r>
            <w:r w:rsidRPr="00F32C5E">
              <w:rPr>
                <w:rFonts w:ascii="Calibri" w:hAnsi="Calibri" w:cs="Calibri"/>
              </w:rPr>
              <w:t xml:space="preserve"> </w:t>
            </w:r>
            <w:r>
              <w:rPr>
                <w:rFonts w:ascii="Calibri" w:hAnsi="Calibri" w:cs="Calibri"/>
              </w:rPr>
              <w:t xml:space="preserve">of the Fund </w:t>
            </w:r>
            <w:r w:rsidRPr="00BE01D9">
              <w:rPr>
                <w:rFonts w:ascii="Calibri" w:hAnsi="Calibri" w:cs="Calibri"/>
              </w:rPr>
              <w:t xml:space="preserve">(before deduction of any Technical Services Fee), </w:t>
            </w:r>
            <w:r>
              <w:rPr>
                <w:rFonts w:ascii="Calibri" w:hAnsi="Calibri" w:cs="Calibri"/>
              </w:rPr>
              <w:t xml:space="preserve">payable to the </w:t>
            </w:r>
            <w:proofErr w:type="spellStart"/>
            <w:r>
              <w:rPr>
                <w:rFonts w:ascii="Calibri" w:hAnsi="Calibri" w:cs="Calibri"/>
              </w:rPr>
              <w:t>Tokenisor</w:t>
            </w:r>
            <w:proofErr w:type="spellEnd"/>
            <w:r>
              <w:rPr>
                <w:rFonts w:ascii="Calibri" w:hAnsi="Calibri" w:cs="Calibri"/>
              </w:rPr>
              <w:t xml:space="preserve">, at its election, once the AUM </w:t>
            </w:r>
            <w:r w:rsidRPr="00F32C5E">
              <w:rPr>
                <w:rFonts w:ascii="Calibri" w:hAnsi="Calibri" w:cs="Calibri"/>
              </w:rPr>
              <w:t>reaches US$100,000,000</w:t>
            </w:r>
            <w:r>
              <w:rPr>
                <w:rFonts w:ascii="Calibri" w:hAnsi="Calibri" w:cs="Calibri"/>
              </w:rPr>
              <w:t>.</w:t>
            </w:r>
          </w:p>
        </w:tc>
      </w:tr>
      <w:tr w:rsidR="002A499D" w:rsidRPr="00C6107B" w14:paraId="0565CEE4" w14:textId="77777777" w:rsidTr="00F86DE2">
        <w:tc>
          <w:tcPr>
            <w:tcW w:w="2756" w:type="dxa"/>
            <w:shd w:val="clear" w:color="auto" w:fill="auto"/>
          </w:tcPr>
          <w:p w14:paraId="23FBE43D" w14:textId="77777777" w:rsidR="002A499D" w:rsidRPr="002A499D" w:rsidRDefault="002A499D" w:rsidP="00F86DE2">
            <w:pPr>
              <w:rPr>
                <w:rFonts w:ascii="Calibri" w:hAnsi="Calibri" w:cs="Calibri"/>
                <w:b/>
              </w:rPr>
            </w:pPr>
          </w:p>
        </w:tc>
        <w:tc>
          <w:tcPr>
            <w:tcW w:w="6270" w:type="dxa"/>
            <w:shd w:val="clear" w:color="auto" w:fill="auto"/>
          </w:tcPr>
          <w:p w14:paraId="116FB455" w14:textId="77777777" w:rsidR="002A499D" w:rsidRPr="00F32C5E" w:rsidRDefault="002A499D" w:rsidP="00F86DE2">
            <w:pPr>
              <w:rPr>
                <w:rFonts w:ascii="Calibri" w:hAnsi="Calibri" w:cs="Calibri"/>
                <w:lang w:val="en-US"/>
              </w:rPr>
            </w:pPr>
          </w:p>
        </w:tc>
      </w:tr>
      <w:tr w:rsidR="002A499D" w:rsidRPr="00C6107B" w14:paraId="70454D14" w14:textId="77777777" w:rsidTr="00F86DE2">
        <w:tc>
          <w:tcPr>
            <w:tcW w:w="2756" w:type="dxa"/>
            <w:shd w:val="clear" w:color="auto" w:fill="auto"/>
          </w:tcPr>
          <w:p w14:paraId="2DBEA22C" w14:textId="77777777" w:rsidR="002A499D" w:rsidRPr="002A499D" w:rsidRDefault="002A499D" w:rsidP="00F86DE2">
            <w:pPr>
              <w:rPr>
                <w:rFonts w:ascii="Calibri" w:hAnsi="Calibri" w:cs="Calibri"/>
                <w:b/>
                <w:lang w:val="en-US"/>
              </w:rPr>
            </w:pPr>
            <w:r w:rsidRPr="002A499D">
              <w:rPr>
                <w:rFonts w:ascii="Calibri" w:hAnsi="Calibri" w:cs="Calibri"/>
                <w:b/>
                <w:lang w:val="en-US"/>
              </w:rPr>
              <w:t xml:space="preserve">Fund </w:t>
            </w:r>
            <w:proofErr w:type="spellStart"/>
            <w:r w:rsidRPr="002A499D">
              <w:rPr>
                <w:rFonts w:ascii="Calibri" w:hAnsi="Calibri" w:cs="Calibri"/>
                <w:b/>
                <w:lang w:val="en-US"/>
              </w:rPr>
              <w:t>Organisational</w:t>
            </w:r>
            <w:proofErr w:type="spellEnd"/>
            <w:r w:rsidRPr="002A499D">
              <w:rPr>
                <w:rFonts w:ascii="Calibri" w:hAnsi="Calibri" w:cs="Calibri"/>
                <w:b/>
                <w:lang w:val="en-US"/>
              </w:rPr>
              <w:t xml:space="preserve"> Expenses</w:t>
            </w:r>
          </w:p>
        </w:tc>
        <w:tc>
          <w:tcPr>
            <w:tcW w:w="6270" w:type="dxa"/>
            <w:shd w:val="clear" w:color="auto" w:fill="auto"/>
          </w:tcPr>
          <w:p w14:paraId="0560454F" w14:textId="3C0A9208" w:rsidR="002A499D" w:rsidRPr="002A499D" w:rsidRDefault="009118FB" w:rsidP="00F86DE2">
            <w:pPr>
              <w:rPr>
                <w:rFonts w:ascii="Calibri" w:hAnsi="Calibri" w:cs="Calibri"/>
                <w:lang w:val="en-US"/>
              </w:rPr>
            </w:pPr>
            <w:r w:rsidRPr="002A499D">
              <w:rPr>
                <w:rFonts w:ascii="Calibri" w:hAnsi="Calibri" w:cs="Calibri"/>
                <w:lang w:val="en-US"/>
              </w:rPr>
              <w:t xml:space="preserve">The Fund’s formation expenses will be borne </w:t>
            </w:r>
            <w:proofErr w:type="gramStart"/>
            <w:r w:rsidRPr="002A499D">
              <w:rPr>
                <w:rFonts w:ascii="Calibri" w:hAnsi="Calibri" w:cs="Calibri"/>
                <w:lang w:val="en-US"/>
              </w:rPr>
              <w:t>by, or</w:t>
            </w:r>
            <w:proofErr w:type="gramEnd"/>
            <w:r w:rsidRPr="002A499D">
              <w:rPr>
                <w:rFonts w:ascii="Calibri" w:hAnsi="Calibri" w:cs="Calibri"/>
                <w:lang w:val="en-US"/>
              </w:rPr>
              <w:t xml:space="preserve"> re-charged to (where these costs are discharged by the Board), the Fund.  These costs and expenses may at the discretion of the Board be </w:t>
            </w:r>
            <w:proofErr w:type="spellStart"/>
            <w:r w:rsidRPr="002A499D">
              <w:rPr>
                <w:rFonts w:ascii="Calibri" w:hAnsi="Calibri" w:cs="Calibri"/>
                <w:lang w:val="en-US"/>
              </w:rPr>
              <w:t>amortised</w:t>
            </w:r>
            <w:proofErr w:type="spellEnd"/>
            <w:r w:rsidRPr="002A499D">
              <w:rPr>
                <w:rFonts w:ascii="Calibri" w:hAnsi="Calibri" w:cs="Calibri"/>
                <w:lang w:val="en-US"/>
              </w:rPr>
              <w:t xml:space="preserve"> on a </w:t>
            </w:r>
            <w:proofErr w:type="gramStart"/>
            <w:r w:rsidRPr="002A499D">
              <w:rPr>
                <w:rFonts w:ascii="Calibri" w:hAnsi="Calibri" w:cs="Calibri"/>
                <w:lang w:val="en-US"/>
              </w:rPr>
              <w:t>straight line</w:t>
            </w:r>
            <w:proofErr w:type="gramEnd"/>
            <w:r w:rsidRPr="002A499D">
              <w:rPr>
                <w:rFonts w:ascii="Calibri" w:hAnsi="Calibri" w:cs="Calibri"/>
                <w:lang w:val="en-US"/>
              </w:rPr>
              <w:t xml:space="preserve"> basis over a period of up to three years from the </w:t>
            </w:r>
            <w:r>
              <w:rPr>
                <w:rFonts w:ascii="Calibri" w:hAnsi="Calibri" w:cs="Calibri"/>
                <w:lang w:val="en-US"/>
              </w:rPr>
              <w:t>initial issue of Tokens</w:t>
            </w:r>
            <w:r w:rsidRPr="002A499D">
              <w:rPr>
                <w:rFonts w:ascii="Calibri" w:hAnsi="Calibri" w:cs="Calibri"/>
                <w:lang w:val="en-US"/>
              </w:rPr>
              <w:t xml:space="preserve">. While the Fund </w:t>
            </w:r>
            <w:proofErr w:type="spellStart"/>
            <w:r w:rsidRPr="002A499D">
              <w:rPr>
                <w:rFonts w:ascii="Calibri" w:hAnsi="Calibri" w:cs="Calibri"/>
                <w:lang w:val="en-US"/>
              </w:rPr>
              <w:t>recognises</w:t>
            </w:r>
            <w:proofErr w:type="spellEnd"/>
            <w:r w:rsidRPr="002A499D">
              <w:rPr>
                <w:rFonts w:ascii="Calibri" w:hAnsi="Calibri" w:cs="Calibri"/>
                <w:lang w:val="en-US"/>
              </w:rPr>
              <w:t xml:space="preserve"> that this may not be consistent with IFRS, the Board has taken this approach to achieve equity and not impose undue establishment expenses on early subscribed investors</w:t>
            </w:r>
            <w:r w:rsidR="002A499D" w:rsidRPr="002A499D">
              <w:rPr>
                <w:rFonts w:ascii="Calibri" w:hAnsi="Calibri" w:cs="Calibri"/>
                <w:lang w:val="en-US"/>
              </w:rPr>
              <w:t>.</w:t>
            </w:r>
          </w:p>
          <w:p w14:paraId="594F9A93" w14:textId="77777777" w:rsidR="002A499D" w:rsidRPr="002A499D" w:rsidRDefault="002A499D" w:rsidP="00F86DE2">
            <w:pPr>
              <w:rPr>
                <w:rFonts w:ascii="Calibri" w:hAnsi="Calibri" w:cs="Calibri"/>
                <w:lang w:val="en-US"/>
              </w:rPr>
            </w:pPr>
          </w:p>
          <w:p w14:paraId="5DE9E00D" w14:textId="6FE4B147" w:rsidR="002A499D" w:rsidRPr="002A499D" w:rsidRDefault="002A499D" w:rsidP="00F86DE2">
            <w:pPr>
              <w:rPr>
                <w:rFonts w:ascii="Calibri" w:hAnsi="Calibri" w:cs="Calibri"/>
                <w:lang w:val="en-US"/>
              </w:rPr>
            </w:pPr>
            <w:r w:rsidRPr="002A499D">
              <w:rPr>
                <w:rFonts w:ascii="Calibri" w:hAnsi="Calibri" w:cs="Calibri"/>
                <w:lang w:val="en-US"/>
              </w:rPr>
              <w:t>If a Token (or fraction thereof) is redeemed prior to the end of the three-year period during which the Fund is amortizing expenses, the Fund may, but is not required to, accelerate a proportionate share of the unamortized expenses based upon the number of Token (or pro rata fraction thereof) being redeemed and reduce redemption proceeds by the amount of such accelerated expenses.</w:t>
            </w:r>
          </w:p>
        </w:tc>
      </w:tr>
      <w:tr w:rsidR="002A499D" w:rsidRPr="00C6107B" w14:paraId="2467926A" w14:textId="77777777" w:rsidTr="00F86DE2">
        <w:tc>
          <w:tcPr>
            <w:tcW w:w="2756" w:type="dxa"/>
            <w:shd w:val="clear" w:color="auto" w:fill="auto"/>
          </w:tcPr>
          <w:p w14:paraId="2DAAE9DC" w14:textId="77777777" w:rsidR="002A499D" w:rsidRPr="002A499D" w:rsidRDefault="002A499D" w:rsidP="00F86DE2">
            <w:pPr>
              <w:rPr>
                <w:rFonts w:ascii="Calibri" w:hAnsi="Calibri" w:cs="Calibri"/>
                <w:b/>
              </w:rPr>
            </w:pPr>
          </w:p>
        </w:tc>
        <w:tc>
          <w:tcPr>
            <w:tcW w:w="6270" w:type="dxa"/>
            <w:shd w:val="clear" w:color="auto" w:fill="auto"/>
          </w:tcPr>
          <w:p w14:paraId="10DA5E7D" w14:textId="77777777" w:rsidR="002A499D" w:rsidRPr="002A499D" w:rsidRDefault="002A499D" w:rsidP="00F86DE2">
            <w:pPr>
              <w:rPr>
                <w:rFonts w:ascii="Calibri" w:hAnsi="Calibri" w:cs="Calibri"/>
                <w:lang w:val="en-US"/>
              </w:rPr>
            </w:pPr>
          </w:p>
        </w:tc>
      </w:tr>
      <w:tr w:rsidR="002A499D" w:rsidRPr="00C6107B" w14:paraId="28770D68" w14:textId="77777777" w:rsidTr="00F86DE2">
        <w:tc>
          <w:tcPr>
            <w:tcW w:w="2756" w:type="dxa"/>
            <w:shd w:val="clear" w:color="auto" w:fill="auto"/>
          </w:tcPr>
          <w:p w14:paraId="3468BE68" w14:textId="77777777" w:rsidR="002A499D" w:rsidRPr="002A499D" w:rsidRDefault="002A499D" w:rsidP="00F86DE2">
            <w:pPr>
              <w:rPr>
                <w:rFonts w:ascii="Calibri" w:hAnsi="Calibri" w:cs="Calibri"/>
                <w:b/>
                <w:lang w:val="en-US"/>
              </w:rPr>
            </w:pPr>
            <w:r w:rsidRPr="002A499D">
              <w:rPr>
                <w:rFonts w:ascii="Calibri" w:hAnsi="Calibri" w:cs="Calibri"/>
                <w:b/>
                <w:lang w:val="en-US"/>
              </w:rPr>
              <w:t>Fund Operating Expenses</w:t>
            </w:r>
          </w:p>
        </w:tc>
        <w:tc>
          <w:tcPr>
            <w:tcW w:w="6270" w:type="dxa"/>
            <w:shd w:val="clear" w:color="auto" w:fill="auto"/>
          </w:tcPr>
          <w:p w14:paraId="315D63B7" w14:textId="77777777" w:rsidR="002A499D" w:rsidRPr="002A499D" w:rsidRDefault="002A499D" w:rsidP="00F86DE2">
            <w:pPr>
              <w:rPr>
                <w:rFonts w:ascii="Calibri" w:hAnsi="Calibri" w:cs="Calibri"/>
                <w:lang w:val="en-US"/>
              </w:rPr>
            </w:pPr>
            <w:r w:rsidRPr="002A499D">
              <w:rPr>
                <w:rFonts w:ascii="Calibri" w:hAnsi="Calibri" w:cs="Calibri"/>
                <w:lang w:val="en-US"/>
              </w:rPr>
              <w:t>The Fund will pay certain other costs and expenses incurred in its operation, including but not limited to:</w:t>
            </w:r>
          </w:p>
          <w:p w14:paraId="66C72557" w14:textId="77777777" w:rsidR="002A499D" w:rsidRPr="002A499D" w:rsidRDefault="002A499D" w:rsidP="00F86DE2">
            <w:pPr>
              <w:rPr>
                <w:rFonts w:ascii="Calibri" w:hAnsi="Calibri" w:cs="Calibri"/>
                <w:lang w:val="en-US"/>
              </w:rPr>
            </w:pPr>
          </w:p>
          <w:p w14:paraId="00F06DD9" w14:textId="77777777" w:rsidR="002A499D" w:rsidRPr="002A499D" w:rsidRDefault="002A499D" w:rsidP="002A499D">
            <w:pPr>
              <w:pStyle w:val="ListParagraph"/>
              <w:numPr>
                <w:ilvl w:val="0"/>
                <w:numId w:val="37"/>
              </w:numPr>
              <w:autoSpaceDE w:val="0"/>
              <w:autoSpaceDN w:val="0"/>
              <w:adjustRightInd w:val="0"/>
              <w:jc w:val="both"/>
              <w:rPr>
                <w:rFonts w:ascii="Calibri" w:hAnsi="Calibri" w:cs="Calibri"/>
                <w:sz w:val="20"/>
                <w:szCs w:val="20"/>
              </w:rPr>
            </w:pPr>
            <w:r w:rsidRPr="002A499D">
              <w:rPr>
                <w:rFonts w:ascii="Calibri" w:hAnsi="Calibri" w:cs="Calibri"/>
                <w:sz w:val="20"/>
                <w:szCs w:val="20"/>
              </w:rPr>
              <w:lastRenderedPageBreak/>
              <w:t xml:space="preserve">costs, expenses and liabilities that are incurred in relation to the ongoing maintenance of the Fund and the </w:t>
            </w:r>
            <w:proofErr w:type="gramStart"/>
            <w:r w:rsidRPr="002A499D">
              <w:rPr>
                <w:rFonts w:ascii="Calibri" w:hAnsi="Calibri" w:cs="Calibri"/>
                <w:sz w:val="20"/>
                <w:szCs w:val="20"/>
              </w:rPr>
              <w:t>Tokens;</w:t>
            </w:r>
            <w:proofErr w:type="gramEnd"/>
          </w:p>
          <w:p w14:paraId="22B2DF3F" w14:textId="77777777" w:rsidR="002A499D" w:rsidRPr="002A499D" w:rsidRDefault="002A499D" w:rsidP="00F86DE2">
            <w:pPr>
              <w:pStyle w:val="ListParagraph"/>
              <w:ind w:left="360"/>
              <w:jc w:val="both"/>
              <w:rPr>
                <w:rFonts w:ascii="Calibri" w:hAnsi="Calibri" w:cs="Calibri"/>
                <w:sz w:val="20"/>
                <w:szCs w:val="20"/>
              </w:rPr>
            </w:pPr>
          </w:p>
          <w:p w14:paraId="432B3D51" w14:textId="77777777" w:rsidR="002A499D" w:rsidRPr="002A499D" w:rsidRDefault="002A499D" w:rsidP="002A499D">
            <w:pPr>
              <w:pStyle w:val="ListParagraph"/>
              <w:numPr>
                <w:ilvl w:val="0"/>
                <w:numId w:val="37"/>
              </w:numPr>
              <w:autoSpaceDE w:val="0"/>
              <w:autoSpaceDN w:val="0"/>
              <w:adjustRightInd w:val="0"/>
              <w:jc w:val="both"/>
              <w:rPr>
                <w:rFonts w:ascii="Calibri" w:hAnsi="Calibri" w:cs="Calibri"/>
                <w:sz w:val="20"/>
                <w:szCs w:val="20"/>
              </w:rPr>
            </w:pPr>
            <w:r w:rsidRPr="002A499D">
              <w:rPr>
                <w:rFonts w:ascii="Calibri" w:hAnsi="Calibri" w:cs="Calibri"/>
                <w:sz w:val="20"/>
                <w:szCs w:val="20"/>
              </w:rPr>
              <w:t>costs, expenses and liabilities that are incurred by or arise out of the operations, middle office activities and administration of the Fund, including but not limited to (</w:t>
            </w:r>
            <w:proofErr w:type="spellStart"/>
            <w:r w:rsidRPr="002A499D">
              <w:rPr>
                <w:rFonts w:ascii="Calibri" w:hAnsi="Calibri" w:cs="Calibri"/>
                <w:sz w:val="20"/>
                <w:szCs w:val="20"/>
              </w:rPr>
              <w:t>i</w:t>
            </w:r>
            <w:proofErr w:type="spellEnd"/>
            <w:r w:rsidRPr="002A499D">
              <w:rPr>
                <w:rFonts w:ascii="Calibri" w:hAnsi="Calibri" w:cs="Calibri"/>
                <w:sz w:val="20"/>
                <w:szCs w:val="20"/>
              </w:rPr>
              <w:t>) legal, tax, advisory, accounting, administration, compliance outsourcing, auditors’, appraisal and valuation fees, (ii) all taxes and corporate fees payable to governments or agencies, (iii) communication expenses with respect to investor services and all expenses of preparing, printing and distributing financial and other reports (including audited financial statements and regulatory reporting), proxy form and similar documents, (iv) middle-office technology expenses related to technical services in relation to the tokenization (</w:t>
            </w:r>
            <w:proofErr w:type="spellStart"/>
            <w:r w:rsidRPr="002A499D">
              <w:rPr>
                <w:rFonts w:ascii="Calibri" w:hAnsi="Calibri" w:cs="Calibri"/>
                <w:sz w:val="20"/>
                <w:szCs w:val="20"/>
              </w:rPr>
              <w:t>ie</w:t>
            </w:r>
            <w:proofErr w:type="spellEnd"/>
            <w:r w:rsidRPr="002A499D">
              <w:rPr>
                <w:rFonts w:ascii="Calibri" w:hAnsi="Calibri" w:cs="Calibri"/>
                <w:sz w:val="20"/>
                <w:szCs w:val="20"/>
              </w:rPr>
              <w:t>, minting, burning, etc.) or such other third-party service provider, (v) the cost of insurance (if any), (vi) litigation and indemnification expenses and extraordinary expenses not incurred in the ordinary course of business, (vii) annual licensing fees and expenses of the Fund, and (viii) independent directors’ fees (if any);</w:t>
            </w:r>
          </w:p>
          <w:p w14:paraId="6CDC3210" w14:textId="77777777" w:rsidR="002A499D" w:rsidRPr="002A499D" w:rsidRDefault="002A499D" w:rsidP="00F86DE2">
            <w:pPr>
              <w:pStyle w:val="ListParagraph"/>
              <w:ind w:left="360"/>
              <w:jc w:val="both"/>
              <w:rPr>
                <w:rFonts w:ascii="Calibri" w:hAnsi="Calibri" w:cs="Calibri"/>
                <w:sz w:val="20"/>
                <w:szCs w:val="20"/>
              </w:rPr>
            </w:pPr>
          </w:p>
          <w:p w14:paraId="56798C0B" w14:textId="77777777" w:rsidR="002A499D" w:rsidRPr="002A499D" w:rsidRDefault="002A499D" w:rsidP="002A499D">
            <w:pPr>
              <w:pStyle w:val="ListParagraph"/>
              <w:numPr>
                <w:ilvl w:val="0"/>
                <w:numId w:val="37"/>
              </w:numPr>
              <w:autoSpaceDE w:val="0"/>
              <w:autoSpaceDN w:val="0"/>
              <w:adjustRightInd w:val="0"/>
              <w:jc w:val="both"/>
              <w:rPr>
                <w:rFonts w:ascii="Calibri" w:hAnsi="Calibri" w:cs="Calibri"/>
                <w:sz w:val="20"/>
                <w:szCs w:val="20"/>
              </w:rPr>
            </w:pPr>
            <w:r w:rsidRPr="002A499D">
              <w:rPr>
                <w:rFonts w:ascii="Calibri" w:hAnsi="Calibri" w:cs="Calibri"/>
                <w:sz w:val="20"/>
                <w:szCs w:val="20"/>
              </w:rPr>
              <w:t>fees and expenses, direct or indirect, in connection with transactions made or proposed to be made by the Board on behalf of the Fund, including but not limited to (</w:t>
            </w:r>
            <w:proofErr w:type="spellStart"/>
            <w:r w:rsidRPr="002A499D">
              <w:rPr>
                <w:rFonts w:ascii="Calibri" w:hAnsi="Calibri" w:cs="Calibri"/>
                <w:sz w:val="20"/>
                <w:szCs w:val="20"/>
              </w:rPr>
              <w:t>i</w:t>
            </w:r>
            <w:proofErr w:type="spellEnd"/>
            <w:r w:rsidRPr="002A499D">
              <w:rPr>
                <w:rFonts w:ascii="Calibri" w:hAnsi="Calibri" w:cs="Calibri"/>
                <w:sz w:val="20"/>
                <w:szCs w:val="20"/>
              </w:rPr>
              <w:t xml:space="preserve">) legal, tax, advisory, accounting, auditors’, and valuers’ fees, (ii) brokers’ fees, expenses, research providers directly or through commission sharing arrangements and commissions (if any), interest on margin and other borrowings, (iii) all fees and expenses incurred in relation to any depositary, custodian or nominee of the Fund’s assets (if relevant),  (iv) other professional fees and expenses, (v) research, evaluation, and appraisal fees, and (vi) all other costs and expenses in connection with acquiring, holding, monitoring and disposing of Investments. Such expenses shall include any and all fees incurred in connection with any transactions that are not </w:t>
            </w:r>
            <w:proofErr w:type="gramStart"/>
            <w:r w:rsidRPr="002A499D">
              <w:rPr>
                <w:rFonts w:ascii="Calibri" w:hAnsi="Calibri" w:cs="Calibri"/>
                <w:sz w:val="20"/>
                <w:szCs w:val="20"/>
              </w:rPr>
              <w:t>consummated;</w:t>
            </w:r>
            <w:proofErr w:type="gramEnd"/>
          </w:p>
          <w:p w14:paraId="0FFE6222" w14:textId="77777777" w:rsidR="002A499D" w:rsidRPr="002A499D" w:rsidRDefault="002A499D" w:rsidP="00F86DE2">
            <w:pPr>
              <w:pStyle w:val="ListParagraph"/>
              <w:ind w:left="360"/>
              <w:jc w:val="both"/>
              <w:rPr>
                <w:rFonts w:ascii="Calibri" w:hAnsi="Calibri" w:cs="Calibri"/>
                <w:sz w:val="20"/>
                <w:szCs w:val="20"/>
              </w:rPr>
            </w:pPr>
          </w:p>
          <w:p w14:paraId="2D07678D" w14:textId="77777777" w:rsidR="002A499D" w:rsidRPr="002A499D" w:rsidRDefault="002A499D" w:rsidP="002A499D">
            <w:pPr>
              <w:pStyle w:val="ListParagraph"/>
              <w:numPr>
                <w:ilvl w:val="0"/>
                <w:numId w:val="37"/>
              </w:numPr>
              <w:autoSpaceDE w:val="0"/>
              <w:autoSpaceDN w:val="0"/>
              <w:adjustRightInd w:val="0"/>
              <w:jc w:val="both"/>
              <w:rPr>
                <w:rFonts w:ascii="Calibri" w:hAnsi="Calibri" w:cs="Calibri"/>
                <w:sz w:val="20"/>
                <w:szCs w:val="20"/>
              </w:rPr>
            </w:pPr>
            <w:r w:rsidRPr="002A499D">
              <w:rPr>
                <w:rFonts w:ascii="Calibri" w:hAnsi="Calibri" w:cs="Calibri"/>
                <w:sz w:val="20"/>
                <w:szCs w:val="20"/>
              </w:rPr>
              <w:t xml:space="preserve">the technical services fee to the </w:t>
            </w:r>
            <w:proofErr w:type="spellStart"/>
            <w:r w:rsidRPr="002A499D">
              <w:rPr>
                <w:rFonts w:ascii="Calibri" w:hAnsi="Calibri" w:cs="Calibri"/>
                <w:sz w:val="20"/>
                <w:szCs w:val="20"/>
              </w:rPr>
              <w:t>Tokenisor</w:t>
            </w:r>
            <w:proofErr w:type="spellEnd"/>
            <w:r w:rsidRPr="002A499D">
              <w:rPr>
                <w:rFonts w:ascii="Calibri" w:hAnsi="Calibri" w:cs="Calibri"/>
                <w:sz w:val="20"/>
                <w:szCs w:val="20"/>
              </w:rPr>
              <w:t xml:space="preserve"> (if payable); and</w:t>
            </w:r>
          </w:p>
          <w:p w14:paraId="101C64B7" w14:textId="77777777" w:rsidR="002A499D" w:rsidRPr="002A499D" w:rsidRDefault="002A499D" w:rsidP="00F86DE2">
            <w:pPr>
              <w:pStyle w:val="ListParagraph"/>
              <w:ind w:left="360"/>
              <w:jc w:val="both"/>
              <w:rPr>
                <w:rFonts w:ascii="Calibri" w:hAnsi="Calibri" w:cs="Calibri"/>
                <w:sz w:val="20"/>
                <w:szCs w:val="20"/>
              </w:rPr>
            </w:pPr>
          </w:p>
          <w:p w14:paraId="2C5087D0" w14:textId="77777777" w:rsidR="002A499D" w:rsidRPr="002A499D" w:rsidRDefault="002A499D" w:rsidP="002A499D">
            <w:pPr>
              <w:pStyle w:val="ListParagraph"/>
              <w:numPr>
                <w:ilvl w:val="0"/>
                <w:numId w:val="37"/>
              </w:numPr>
              <w:autoSpaceDE w:val="0"/>
              <w:autoSpaceDN w:val="0"/>
              <w:adjustRightInd w:val="0"/>
              <w:jc w:val="both"/>
              <w:rPr>
                <w:rFonts w:ascii="Calibri" w:hAnsi="Calibri" w:cs="Calibri"/>
                <w:sz w:val="20"/>
                <w:szCs w:val="20"/>
              </w:rPr>
            </w:pPr>
            <w:r w:rsidRPr="002A499D">
              <w:rPr>
                <w:rFonts w:ascii="Calibri" w:hAnsi="Calibri" w:cs="Calibri"/>
                <w:sz w:val="20"/>
                <w:szCs w:val="20"/>
              </w:rPr>
              <w:t>the Fund’s other professional and operating expenses.</w:t>
            </w:r>
          </w:p>
        </w:tc>
      </w:tr>
      <w:tr w:rsidR="002A499D" w:rsidRPr="00C6107B" w14:paraId="7A497D93" w14:textId="77777777" w:rsidTr="00F86DE2">
        <w:tc>
          <w:tcPr>
            <w:tcW w:w="2756" w:type="dxa"/>
            <w:shd w:val="clear" w:color="auto" w:fill="auto"/>
          </w:tcPr>
          <w:p w14:paraId="7A4A1642" w14:textId="77777777" w:rsidR="002A499D" w:rsidRPr="002A499D" w:rsidRDefault="002A499D" w:rsidP="00F86DE2">
            <w:pPr>
              <w:rPr>
                <w:rFonts w:ascii="Calibri" w:hAnsi="Calibri" w:cs="Calibri"/>
                <w:b/>
                <w:lang w:val="en-US"/>
              </w:rPr>
            </w:pPr>
          </w:p>
        </w:tc>
        <w:tc>
          <w:tcPr>
            <w:tcW w:w="6270" w:type="dxa"/>
            <w:shd w:val="clear" w:color="auto" w:fill="auto"/>
          </w:tcPr>
          <w:p w14:paraId="0744ED1F" w14:textId="77777777" w:rsidR="002A499D" w:rsidRPr="002A499D" w:rsidRDefault="002A499D" w:rsidP="00F86DE2">
            <w:pPr>
              <w:rPr>
                <w:rFonts w:ascii="Calibri" w:hAnsi="Calibri" w:cs="Calibri"/>
              </w:rPr>
            </w:pPr>
          </w:p>
        </w:tc>
      </w:tr>
      <w:tr w:rsidR="002A499D" w:rsidRPr="00BC0C93" w14:paraId="2EEFBDFF" w14:textId="77777777" w:rsidTr="00F86DE2">
        <w:tc>
          <w:tcPr>
            <w:tcW w:w="9026" w:type="dxa"/>
            <w:gridSpan w:val="2"/>
            <w:shd w:val="clear" w:color="auto" w:fill="D5DDE7" w:themeFill="text2" w:themeFillTint="33"/>
          </w:tcPr>
          <w:p w14:paraId="70635CE5" w14:textId="77777777" w:rsidR="002A499D" w:rsidRPr="002A499D" w:rsidRDefault="002A499D" w:rsidP="00F86DE2">
            <w:pPr>
              <w:rPr>
                <w:rFonts w:ascii="Calibri" w:hAnsi="Calibri" w:cs="Calibri"/>
                <w:lang w:val="en-US"/>
              </w:rPr>
            </w:pPr>
            <w:r w:rsidRPr="002A499D">
              <w:rPr>
                <w:rFonts w:ascii="Calibri" w:hAnsi="Calibri" w:cs="Calibri"/>
                <w:b/>
                <w:lang w:val="en-US"/>
              </w:rPr>
              <w:t>Transferability</w:t>
            </w:r>
          </w:p>
        </w:tc>
      </w:tr>
      <w:tr w:rsidR="002A499D" w:rsidRPr="00C6107B" w14:paraId="6BBAC215" w14:textId="77777777" w:rsidTr="00F86DE2">
        <w:tc>
          <w:tcPr>
            <w:tcW w:w="2756" w:type="dxa"/>
            <w:shd w:val="clear" w:color="auto" w:fill="auto"/>
          </w:tcPr>
          <w:p w14:paraId="3E589C67" w14:textId="77777777" w:rsidR="002A499D" w:rsidRPr="002A499D" w:rsidRDefault="002A499D" w:rsidP="00F86DE2">
            <w:pPr>
              <w:rPr>
                <w:rFonts w:ascii="Calibri" w:hAnsi="Calibri" w:cs="Calibri"/>
                <w:b/>
                <w:lang w:val="en-US"/>
              </w:rPr>
            </w:pPr>
          </w:p>
        </w:tc>
        <w:tc>
          <w:tcPr>
            <w:tcW w:w="6270" w:type="dxa"/>
            <w:shd w:val="clear" w:color="auto" w:fill="auto"/>
          </w:tcPr>
          <w:p w14:paraId="6875012B" w14:textId="77777777" w:rsidR="002A499D" w:rsidRPr="002A499D" w:rsidRDefault="002A499D" w:rsidP="00F86DE2">
            <w:pPr>
              <w:rPr>
                <w:rFonts w:ascii="Calibri" w:hAnsi="Calibri" w:cs="Calibri"/>
              </w:rPr>
            </w:pPr>
          </w:p>
        </w:tc>
      </w:tr>
      <w:tr w:rsidR="002A499D" w:rsidRPr="00C6107B" w14:paraId="0DA3DB54" w14:textId="77777777" w:rsidTr="00F86DE2">
        <w:tc>
          <w:tcPr>
            <w:tcW w:w="2756" w:type="dxa"/>
            <w:shd w:val="clear" w:color="auto" w:fill="auto"/>
          </w:tcPr>
          <w:p w14:paraId="76B49C4E" w14:textId="77777777" w:rsidR="002A499D" w:rsidRPr="002A499D" w:rsidRDefault="002A499D" w:rsidP="00F86DE2">
            <w:pPr>
              <w:ind w:right="-180"/>
              <w:rPr>
                <w:rFonts w:ascii="Calibri" w:hAnsi="Calibri" w:cs="Calibri"/>
                <w:b/>
                <w:lang w:val="en-US"/>
              </w:rPr>
            </w:pPr>
            <w:r w:rsidRPr="002A499D">
              <w:rPr>
                <w:rFonts w:ascii="Calibri" w:hAnsi="Calibri" w:cs="Calibri"/>
                <w:b/>
                <w:lang w:val="en-US"/>
              </w:rPr>
              <w:t>Transfers of Tokens</w:t>
            </w:r>
          </w:p>
        </w:tc>
        <w:tc>
          <w:tcPr>
            <w:tcW w:w="6270" w:type="dxa"/>
            <w:shd w:val="clear" w:color="auto" w:fill="auto"/>
          </w:tcPr>
          <w:p w14:paraId="09DD6622" w14:textId="77777777" w:rsidR="002A499D" w:rsidRPr="002A499D" w:rsidRDefault="002A499D" w:rsidP="00F86DE2">
            <w:pPr>
              <w:rPr>
                <w:rFonts w:ascii="Calibri" w:hAnsi="Calibri" w:cs="Calibri"/>
                <w:lang w:val="en-US"/>
              </w:rPr>
            </w:pPr>
            <w:r w:rsidRPr="002A499D">
              <w:rPr>
                <w:rFonts w:ascii="Calibri" w:hAnsi="Calibri" w:cs="Calibri"/>
              </w:rPr>
              <w:t>Tokens are transferable through the blockchain subject to the transferee being a Professional Client, not a Restricted Persons and satisfying the Fund Manager's KYC and AML requirements prior to transfer</w:t>
            </w:r>
            <w:r w:rsidRPr="002A499D">
              <w:rPr>
                <w:rFonts w:ascii="Calibri" w:hAnsi="Calibri" w:cs="Calibri"/>
                <w:lang w:val="en-US"/>
              </w:rPr>
              <w:t>.</w:t>
            </w:r>
          </w:p>
        </w:tc>
      </w:tr>
      <w:tr w:rsidR="002A499D" w:rsidRPr="00C6107B" w14:paraId="584060CC" w14:textId="77777777" w:rsidTr="00F86DE2">
        <w:tc>
          <w:tcPr>
            <w:tcW w:w="2756" w:type="dxa"/>
            <w:shd w:val="clear" w:color="auto" w:fill="auto"/>
          </w:tcPr>
          <w:p w14:paraId="6221E919" w14:textId="77777777" w:rsidR="002A499D" w:rsidRPr="002A499D" w:rsidRDefault="002A499D" w:rsidP="00F86DE2">
            <w:pPr>
              <w:rPr>
                <w:rFonts w:ascii="Calibri" w:hAnsi="Calibri" w:cs="Calibri"/>
                <w:b/>
                <w:lang w:val="en-US"/>
              </w:rPr>
            </w:pPr>
          </w:p>
        </w:tc>
        <w:tc>
          <w:tcPr>
            <w:tcW w:w="6270" w:type="dxa"/>
            <w:shd w:val="clear" w:color="auto" w:fill="auto"/>
          </w:tcPr>
          <w:p w14:paraId="49F85E24" w14:textId="77777777" w:rsidR="002A499D" w:rsidRPr="002A499D" w:rsidRDefault="002A499D" w:rsidP="00F86DE2">
            <w:pPr>
              <w:rPr>
                <w:rFonts w:ascii="Calibri" w:hAnsi="Calibri" w:cs="Calibri"/>
              </w:rPr>
            </w:pPr>
          </w:p>
        </w:tc>
      </w:tr>
      <w:tr w:rsidR="002A499D" w:rsidRPr="00BC0C93" w14:paraId="5C198866" w14:textId="77777777" w:rsidTr="00F86DE2">
        <w:tc>
          <w:tcPr>
            <w:tcW w:w="9026" w:type="dxa"/>
            <w:gridSpan w:val="2"/>
            <w:shd w:val="clear" w:color="auto" w:fill="D5DDE7" w:themeFill="text2" w:themeFillTint="33"/>
          </w:tcPr>
          <w:p w14:paraId="38CE4428" w14:textId="77777777" w:rsidR="002A499D" w:rsidRPr="002A499D" w:rsidRDefault="002A499D" w:rsidP="00F86DE2">
            <w:pPr>
              <w:rPr>
                <w:rFonts w:ascii="Calibri" w:hAnsi="Calibri" w:cs="Calibri"/>
                <w:lang w:val="en-US"/>
              </w:rPr>
            </w:pPr>
            <w:r w:rsidRPr="002A499D">
              <w:rPr>
                <w:rFonts w:ascii="Calibri" w:hAnsi="Calibri" w:cs="Calibri"/>
                <w:b/>
                <w:lang w:val="en-US"/>
              </w:rPr>
              <w:t>Certain Legal Matters</w:t>
            </w:r>
          </w:p>
        </w:tc>
      </w:tr>
      <w:tr w:rsidR="002A499D" w:rsidRPr="00C6107B" w14:paraId="0FD796B6" w14:textId="77777777" w:rsidTr="00F86DE2">
        <w:tc>
          <w:tcPr>
            <w:tcW w:w="2756" w:type="dxa"/>
            <w:shd w:val="clear" w:color="auto" w:fill="auto"/>
          </w:tcPr>
          <w:p w14:paraId="5A929109" w14:textId="77777777" w:rsidR="002A499D" w:rsidRPr="002A499D" w:rsidRDefault="002A499D" w:rsidP="00F86DE2">
            <w:pPr>
              <w:rPr>
                <w:rFonts w:ascii="Calibri" w:hAnsi="Calibri" w:cs="Calibri"/>
                <w:b/>
                <w:lang w:val="en-US"/>
              </w:rPr>
            </w:pPr>
          </w:p>
        </w:tc>
        <w:tc>
          <w:tcPr>
            <w:tcW w:w="6270" w:type="dxa"/>
            <w:shd w:val="clear" w:color="auto" w:fill="auto"/>
          </w:tcPr>
          <w:p w14:paraId="43D2FA42" w14:textId="77777777" w:rsidR="002A499D" w:rsidRPr="002A499D" w:rsidRDefault="002A499D" w:rsidP="00F86DE2">
            <w:pPr>
              <w:rPr>
                <w:rFonts w:ascii="Calibri" w:hAnsi="Calibri" w:cs="Calibri"/>
              </w:rPr>
            </w:pPr>
          </w:p>
        </w:tc>
      </w:tr>
      <w:tr w:rsidR="002A499D" w:rsidRPr="00C6107B" w14:paraId="07229D7B" w14:textId="77777777" w:rsidTr="00F86DE2">
        <w:tc>
          <w:tcPr>
            <w:tcW w:w="2756" w:type="dxa"/>
            <w:shd w:val="clear" w:color="auto" w:fill="auto"/>
          </w:tcPr>
          <w:p w14:paraId="5CBD8AB3" w14:textId="77777777" w:rsidR="002A499D" w:rsidRPr="002A499D" w:rsidRDefault="002A499D" w:rsidP="00F86DE2">
            <w:pPr>
              <w:ind w:right="-180"/>
              <w:rPr>
                <w:rFonts w:ascii="Calibri" w:hAnsi="Calibri" w:cs="Calibri"/>
                <w:b/>
                <w:lang w:val="en-US"/>
              </w:rPr>
            </w:pPr>
            <w:r w:rsidRPr="002A499D">
              <w:rPr>
                <w:rFonts w:ascii="Calibri" w:hAnsi="Calibri" w:cs="Calibri"/>
                <w:b/>
                <w:lang w:val="en-US"/>
              </w:rPr>
              <w:t>Reporting</w:t>
            </w:r>
          </w:p>
        </w:tc>
        <w:tc>
          <w:tcPr>
            <w:tcW w:w="6270" w:type="dxa"/>
            <w:shd w:val="clear" w:color="auto" w:fill="auto"/>
          </w:tcPr>
          <w:p w14:paraId="6E7ED2E9" w14:textId="672610E0" w:rsidR="002A499D" w:rsidRPr="002A499D" w:rsidRDefault="002A499D" w:rsidP="00F86DE2">
            <w:pPr>
              <w:rPr>
                <w:rFonts w:ascii="Calibri" w:hAnsi="Calibri" w:cs="Calibri"/>
              </w:rPr>
            </w:pPr>
            <w:r w:rsidRPr="002A499D">
              <w:rPr>
                <w:rFonts w:ascii="Calibri" w:hAnsi="Calibri" w:cs="Calibri"/>
              </w:rPr>
              <w:t xml:space="preserve">Monthly fund update prepared by Fund Manager with a quarterly investment report, with a </w:t>
            </w:r>
            <w:r w:rsidR="00F32C5E">
              <w:rPr>
                <w:rFonts w:ascii="Calibri" w:hAnsi="Calibri" w:cs="Calibri"/>
              </w:rPr>
              <w:t xml:space="preserve">daily </w:t>
            </w:r>
            <w:r w:rsidRPr="002A499D">
              <w:rPr>
                <w:rFonts w:ascii="Calibri" w:hAnsi="Calibri" w:cs="Calibri"/>
              </w:rPr>
              <w:t>Net Asset Value calculation of the Fund.</w:t>
            </w:r>
          </w:p>
          <w:p w14:paraId="126E2557" w14:textId="77777777" w:rsidR="002A499D" w:rsidRPr="002A499D" w:rsidRDefault="002A499D" w:rsidP="00F86DE2">
            <w:pPr>
              <w:rPr>
                <w:rFonts w:ascii="Calibri" w:hAnsi="Calibri" w:cs="Calibri"/>
              </w:rPr>
            </w:pPr>
          </w:p>
          <w:p w14:paraId="269B3547" w14:textId="2E386B21" w:rsidR="002A499D" w:rsidRPr="002A499D" w:rsidRDefault="002A499D" w:rsidP="00F86DE2">
            <w:pPr>
              <w:rPr>
                <w:rFonts w:ascii="Calibri" w:hAnsi="Calibri" w:cs="Calibri"/>
              </w:rPr>
            </w:pPr>
            <w:r w:rsidRPr="002A499D">
              <w:rPr>
                <w:rFonts w:ascii="Calibri" w:hAnsi="Calibri" w:cs="Calibri"/>
              </w:rPr>
              <w:t xml:space="preserve">Annual Fund Report in accordance with FSRA </w:t>
            </w:r>
            <w:r>
              <w:rPr>
                <w:rFonts w:ascii="Calibri" w:hAnsi="Calibri" w:cs="Calibri"/>
              </w:rPr>
              <w:t>Rules</w:t>
            </w:r>
            <w:r w:rsidRPr="002A499D">
              <w:rPr>
                <w:rFonts w:ascii="Calibri" w:hAnsi="Calibri" w:cs="Calibri"/>
              </w:rPr>
              <w:t>.</w:t>
            </w:r>
          </w:p>
          <w:p w14:paraId="2B57A0E3" w14:textId="77777777" w:rsidR="002A499D" w:rsidRPr="002A499D" w:rsidRDefault="002A499D" w:rsidP="00F86DE2">
            <w:pPr>
              <w:rPr>
                <w:rFonts w:ascii="Calibri" w:hAnsi="Calibri" w:cs="Calibri"/>
              </w:rPr>
            </w:pPr>
          </w:p>
          <w:p w14:paraId="5BC3F1DD" w14:textId="77777777" w:rsidR="002A499D" w:rsidRPr="002A499D" w:rsidRDefault="002A499D" w:rsidP="00F86DE2">
            <w:pPr>
              <w:rPr>
                <w:rFonts w:ascii="Calibri" w:hAnsi="Calibri" w:cs="Calibri"/>
                <w:lang w:val="en-US"/>
              </w:rPr>
            </w:pPr>
            <w:r w:rsidRPr="002A499D">
              <w:rPr>
                <w:rFonts w:ascii="Calibri" w:hAnsi="Calibri" w:cs="Calibri"/>
              </w:rPr>
              <w:t>All reports will be made available through the Fund Manager's portal to Token Holders.</w:t>
            </w:r>
          </w:p>
        </w:tc>
      </w:tr>
      <w:tr w:rsidR="002A499D" w:rsidRPr="00C6107B" w14:paraId="5B1CA71F" w14:textId="77777777" w:rsidTr="00F86DE2">
        <w:tc>
          <w:tcPr>
            <w:tcW w:w="2756" w:type="dxa"/>
            <w:shd w:val="clear" w:color="auto" w:fill="auto"/>
          </w:tcPr>
          <w:p w14:paraId="56002444" w14:textId="77777777" w:rsidR="002A499D" w:rsidRPr="002A499D" w:rsidRDefault="002A499D" w:rsidP="00F86DE2">
            <w:pPr>
              <w:ind w:right="-180"/>
              <w:rPr>
                <w:rFonts w:ascii="Calibri" w:hAnsi="Calibri" w:cs="Calibri"/>
                <w:b/>
                <w:lang w:val="en-US"/>
              </w:rPr>
            </w:pPr>
          </w:p>
        </w:tc>
        <w:tc>
          <w:tcPr>
            <w:tcW w:w="6270" w:type="dxa"/>
            <w:shd w:val="clear" w:color="auto" w:fill="auto"/>
          </w:tcPr>
          <w:p w14:paraId="5E7C2176" w14:textId="77777777" w:rsidR="002A499D" w:rsidRPr="002A499D" w:rsidRDefault="002A499D" w:rsidP="00F86DE2">
            <w:pPr>
              <w:rPr>
                <w:rFonts w:ascii="Calibri" w:hAnsi="Calibri" w:cs="Calibri"/>
                <w:lang w:val="en-US"/>
              </w:rPr>
            </w:pPr>
          </w:p>
        </w:tc>
      </w:tr>
      <w:tr w:rsidR="002A499D" w:rsidRPr="00C6107B" w14:paraId="43FA1B54" w14:textId="77777777" w:rsidTr="00F86DE2">
        <w:tc>
          <w:tcPr>
            <w:tcW w:w="2756" w:type="dxa"/>
            <w:shd w:val="clear" w:color="auto" w:fill="auto"/>
          </w:tcPr>
          <w:p w14:paraId="754448BE" w14:textId="77777777" w:rsidR="002A499D" w:rsidRPr="002A499D" w:rsidRDefault="002A499D" w:rsidP="00F86DE2">
            <w:pPr>
              <w:ind w:right="-180"/>
              <w:rPr>
                <w:rFonts w:ascii="Calibri" w:hAnsi="Calibri" w:cs="Calibri"/>
                <w:b/>
                <w:lang w:val="en-US"/>
              </w:rPr>
            </w:pPr>
            <w:r w:rsidRPr="002A499D">
              <w:rPr>
                <w:rFonts w:ascii="Calibri" w:hAnsi="Calibri" w:cs="Calibri"/>
                <w:b/>
                <w:lang w:val="en-US"/>
              </w:rPr>
              <w:t>Liability and Indemnification</w:t>
            </w:r>
          </w:p>
        </w:tc>
        <w:tc>
          <w:tcPr>
            <w:tcW w:w="6270" w:type="dxa"/>
            <w:shd w:val="clear" w:color="auto" w:fill="auto"/>
          </w:tcPr>
          <w:p w14:paraId="57A7A439" w14:textId="4A3CD385" w:rsidR="002A499D" w:rsidRPr="002A499D" w:rsidRDefault="002A499D" w:rsidP="00F86DE2">
            <w:pPr>
              <w:rPr>
                <w:rFonts w:ascii="Calibri" w:hAnsi="Calibri" w:cs="Calibri"/>
              </w:rPr>
            </w:pPr>
            <w:r w:rsidRPr="002A499D">
              <w:rPr>
                <w:rFonts w:ascii="Calibri" w:hAnsi="Calibri" w:cs="Calibri"/>
              </w:rPr>
              <w:t xml:space="preserve">The directors of the Fund, the </w:t>
            </w:r>
            <w:proofErr w:type="spellStart"/>
            <w:r w:rsidRPr="002A499D">
              <w:rPr>
                <w:rFonts w:ascii="Calibri" w:hAnsi="Calibri" w:cs="Calibri"/>
              </w:rPr>
              <w:t>Tokenisor</w:t>
            </w:r>
            <w:proofErr w:type="spellEnd"/>
            <w:r w:rsidRPr="002A499D">
              <w:rPr>
                <w:rFonts w:ascii="Calibri" w:hAnsi="Calibri" w:cs="Calibri"/>
              </w:rPr>
              <w:t xml:space="preserve">, the Fund Manager, and the technical  and their and their affiliates' shareholders, partners, directors, </w:t>
            </w:r>
            <w:r w:rsidRPr="002A499D">
              <w:rPr>
                <w:rFonts w:ascii="Calibri" w:hAnsi="Calibri" w:cs="Calibri"/>
              </w:rPr>
              <w:lastRenderedPageBreak/>
              <w:t>officers, employees, agents, and advisors (</w:t>
            </w:r>
            <w:r w:rsidRPr="002A499D">
              <w:rPr>
                <w:rFonts w:ascii="Calibri" w:hAnsi="Calibri" w:cs="Calibri"/>
                <w:b/>
                <w:bCs/>
              </w:rPr>
              <w:t>Indemnified Persons</w:t>
            </w:r>
            <w:r w:rsidRPr="002A499D">
              <w:rPr>
                <w:rFonts w:ascii="Calibri" w:hAnsi="Calibri" w:cs="Calibri"/>
              </w:rPr>
              <w:t>) shall not be liable to the Fund or the Token Holders for any act or omission performed by any of them in connection with the Fund or their activities, unless such act or omission results from such person’s fraud,</w:t>
            </w:r>
            <w:r w:rsidR="00EC4980">
              <w:rPr>
                <w:rFonts w:ascii="Calibri" w:hAnsi="Calibri" w:cs="Calibri"/>
              </w:rPr>
              <w:t xml:space="preserve"> wilful misconduct of gross negligence</w:t>
            </w:r>
            <w:r w:rsidRPr="002A499D">
              <w:rPr>
                <w:rFonts w:ascii="Calibri" w:hAnsi="Calibri" w:cs="Calibri"/>
              </w:rPr>
              <w:t xml:space="preserve"> (as ultimately determined by a court of competent jurisdiction).</w:t>
            </w:r>
          </w:p>
          <w:p w14:paraId="5553FAA5" w14:textId="77777777" w:rsidR="002A499D" w:rsidRPr="002A499D" w:rsidRDefault="002A499D" w:rsidP="00F86DE2">
            <w:pPr>
              <w:rPr>
                <w:rFonts w:ascii="Calibri" w:hAnsi="Calibri" w:cs="Calibri"/>
              </w:rPr>
            </w:pPr>
          </w:p>
          <w:p w14:paraId="11C360EA" w14:textId="1B2EA6AB" w:rsidR="002A499D" w:rsidRPr="002A499D" w:rsidRDefault="002A499D" w:rsidP="00F86DE2">
            <w:pPr>
              <w:rPr>
                <w:rFonts w:ascii="Calibri" w:hAnsi="Calibri" w:cs="Calibri"/>
              </w:rPr>
            </w:pPr>
            <w:r w:rsidRPr="002A499D">
              <w:rPr>
                <w:rFonts w:ascii="Calibri" w:hAnsi="Calibri" w:cs="Calibri"/>
              </w:rPr>
              <w:t xml:space="preserve">The Fund will indemnify each Indemnified Person, against any and all expenses (including legal fees), claims, costs, damages, losses (including, without limitation, from and against any judgment, settlement, legal fees and other costs or expenses incurred in connection with the defence of any action or threatened action or proceeding), or liabilities which an Indemnified Person sustains or incurs in or about their activities for and/or on behalf of the Fund, unless such action or omission results from the relevant person’s fraud, </w:t>
            </w:r>
            <w:proofErr w:type="spellStart"/>
            <w:r w:rsidRPr="002A499D">
              <w:rPr>
                <w:rFonts w:ascii="Calibri" w:hAnsi="Calibri" w:cs="Calibri"/>
              </w:rPr>
              <w:t>willful</w:t>
            </w:r>
            <w:proofErr w:type="spellEnd"/>
            <w:r w:rsidRPr="002A499D">
              <w:rPr>
                <w:rFonts w:ascii="Calibri" w:hAnsi="Calibri" w:cs="Calibri"/>
              </w:rPr>
              <w:t xml:space="preserve"> misconduct or gross negligence </w:t>
            </w:r>
            <w:r w:rsidR="006A1543">
              <w:rPr>
                <w:rFonts w:ascii="Calibri" w:hAnsi="Calibri" w:cs="Calibri"/>
              </w:rPr>
              <w:t>(</w:t>
            </w:r>
            <w:r w:rsidRPr="002A499D">
              <w:rPr>
                <w:rFonts w:ascii="Calibri" w:hAnsi="Calibri" w:cs="Calibri"/>
              </w:rPr>
              <w:t>as ultimately determined by a court of competent jurisdiction).</w:t>
            </w:r>
          </w:p>
          <w:p w14:paraId="0F69A3BD" w14:textId="77777777" w:rsidR="002A499D" w:rsidRPr="002A499D" w:rsidRDefault="002A499D" w:rsidP="00F86DE2">
            <w:pPr>
              <w:rPr>
                <w:rFonts w:ascii="Calibri" w:hAnsi="Calibri" w:cs="Calibri"/>
              </w:rPr>
            </w:pPr>
          </w:p>
          <w:p w14:paraId="62BB3C03" w14:textId="77777777" w:rsidR="002A499D" w:rsidRPr="002A499D" w:rsidRDefault="002A499D" w:rsidP="00F86DE2">
            <w:pPr>
              <w:rPr>
                <w:rFonts w:ascii="Calibri" w:hAnsi="Calibri" w:cs="Calibri"/>
                <w:lang w:val="en-US"/>
              </w:rPr>
            </w:pPr>
            <w:r w:rsidRPr="002A499D">
              <w:rPr>
                <w:rFonts w:ascii="Calibri" w:hAnsi="Calibri" w:cs="Calibri"/>
              </w:rPr>
              <w:t>The satisfaction of any indemnification obligation shall be from and limited to the assets of the Fund.</w:t>
            </w:r>
          </w:p>
        </w:tc>
      </w:tr>
      <w:tr w:rsidR="002A499D" w:rsidRPr="00C6107B" w14:paraId="2B3DAED0" w14:textId="77777777" w:rsidTr="00F86DE2">
        <w:tc>
          <w:tcPr>
            <w:tcW w:w="2756" w:type="dxa"/>
            <w:shd w:val="clear" w:color="auto" w:fill="auto"/>
          </w:tcPr>
          <w:p w14:paraId="6CF72FFE" w14:textId="77777777" w:rsidR="002A499D" w:rsidRPr="002A499D" w:rsidRDefault="002A499D" w:rsidP="00F86DE2">
            <w:pPr>
              <w:ind w:right="-180"/>
              <w:rPr>
                <w:rFonts w:ascii="Calibri" w:hAnsi="Calibri" w:cs="Calibri"/>
                <w:b/>
                <w:lang w:val="en-US"/>
              </w:rPr>
            </w:pPr>
          </w:p>
        </w:tc>
        <w:tc>
          <w:tcPr>
            <w:tcW w:w="6270" w:type="dxa"/>
            <w:shd w:val="clear" w:color="auto" w:fill="auto"/>
          </w:tcPr>
          <w:p w14:paraId="61F9123E" w14:textId="77777777" w:rsidR="002A499D" w:rsidRPr="002A499D" w:rsidRDefault="002A499D" w:rsidP="00F86DE2">
            <w:pPr>
              <w:rPr>
                <w:rFonts w:ascii="Calibri" w:hAnsi="Calibri" w:cs="Calibri"/>
                <w:lang w:val="en-US"/>
              </w:rPr>
            </w:pPr>
          </w:p>
        </w:tc>
      </w:tr>
      <w:tr w:rsidR="002A499D" w:rsidRPr="00C6107B" w14:paraId="050B2CB6" w14:textId="77777777" w:rsidTr="00F86DE2">
        <w:tc>
          <w:tcPr>
            <w:tcW w:w="2756" w:type="dxa"/>
            <w:shd w:val="clear" w:color="auto" w:fill="auto"/>
          </w:tcPr>
          <w:p w14:paraId="786836AE" w14:textId="77777777" w:rsidR="002A499D" w:rsidRPr="002A499D" w:rsidRDefault="002A499D" w:rsidP="00F86DE2">
            <w:pPr>
              <w:ind w:right="-180"/>
              <w:rPr>
                <w:rFonts w:ascii="Calibri" w:hAnsi="Calibri" w:cs="Calibri"/>
                <w:b/>
                <w:lang w:val="en-US"/>
              </w:rPr>
            </w:pPr>
            <w:r w:rsidRPr="002A499D">
              <w:rPr>
                <w:rFonts w:ascii="Calibri" w:hAnsi="Calibri" w:cs="Calibri"/>
                <w:b/>
                <w:bCs/>
              </w:rPr>
              <w:t>Administrator</w:t>
            </w:r>
          </w:p>
        </w:tc>
        <w:tc>
          <w:tcPr>
            <w:tcW w:w="6270" w:type="dxa"/>
            <w:shd w:val="clear" w:color="auto" w:fill="auto"/>
          </w:tcPr>
          <w:p w14:paraId="5106983D" w14:textId="10D3A241" w:rsidR="002A499D" w:rsidRPr="002A499D" w:rsidRDefault="002A499D" w:rsidP="00F86DE2">
            <w:pPr>
              <w:rPr>
                <w:rFonts w:ascii="Calibri" w:hAnsi="Calibri" w:cs="Calibri"/>
                <w:lang w:val="en-US"/>
              </w:rPr>
            </w:pPr>
            <w:r w:rsidRPr="002A499D">
              <w:rPr>
                <w:rFonts w:ascii="Calibri" w:hAnsi="Calibri" w:cs="Calibri"/>
                <w:lang w:val="en-US"/>
              </w:rPr>
              <w:t>Ascent</w:t>
            </w:r>
            <w:r w:rsidR="00F32C5E">
              <w:rPr>
                <w:rFonts w:ascii="Calibri" w:hAnsi="Calibri" w:cs="Calibri"/>
                <w:lang w:val="en-US"/>
              </w:rPr>
              <w:t xml:space="preserve"> </w:t>
            </w:r>
            <w:r w:rsidR="001735DD">
              <w:rPr>
                <w:rFonts w:ascii="Calibri" w:hAnsi="Calibri" w:cs="Calibri"/>
                <w:lang w:val="en-US"/>
              </w:rPr>
              <w:t>Fund Services Ltd.</w:t>
            </w:r>
          </w:p>
        </w:tc>
      </w:tr>
      <w:tr w:rsidR="002A499D" w:rsidRPr="00C6107B" w14:paraId="1A9E7076" w14:textId="77777777" w:rsidTr="00F86DE2">
        <w:tc>
          <w:tcPr>
            <w:tcW w:w="2756" w:type="dxa"/>
            <w:shd w:val="clear" w:color="auto" w:fill="auto"/>
          </w:tcPr>
          <w:p w14:paraId="18BEFFB6" w14:textId="77777777" w:rsidR="002A499D" w:rsidRPr="002A499D" w:rsidRDefault="002A499D" w:rsidP="00F86DE2">
            <w:pPr>
              <w:ind w:right="-180"/>
              <w:rPr>
                <w:rFonts w:ascii="Calibri" w:hAnsi="Calibri" w:cs="Calibri"/>
                <w:b/>
                <w:lang w:val="en-US"/>
              </w:rPr>
            </w:pPr>
          </w:p>
        </w:tc>
        <w:tc>
          <w:tcPr>
            <w:tcW w:w="6270" w:type="dxa"/>
            <w:shd w:val="clear" w:color="auto" w:fill="auto"/>
          </w:tcPr>
          <w:p w14:paraId="7264A86E" w14:textId="77777777" w:rsidR="002A499D" w:rsidRPr="002A499D" w:rsidRDefault="002A499D" w:rsidP="00F86DE2">
            <w:pPr>
              <w:rPr>
                <w:rFonts w:ascii="Calibri" w:hAnsi="Calibri" w:cs="Calibri"/>
                <w:lang w:val="en-US"/>
              </w:rPr>
            </w:pPr>
          </w:p>
        </w:tc>
      </w:tr>
      <w:tr w:rsidR="002A499D" w:rsidRPr="00C6107B" w14:paraId="35BE3B18" w14:textId="77777777" w:rsidTr="00F86DE2">
        <w:tc>
          <w:tcPr>
            <w:tcW w:w="2756" w:type="dxa"/>
            <w:shd w:val="clear" w:color="auto" w:fill="auto"/>
          </w:tcPr>
          <w:p w14:paraId="4B4D12F1" w14:textId="77777777" w:rsidR="002A499D" w:rsidRPr="002A499D" w:rsidRDefault="002A499D" w:rsidP="00F86DE2">
            <w:pPr>
              <w:ind w:right="-180"/>
              <w:rPr>
                <w:rFonts w:ascii="Calibri" w:hAnsi="Calibri" w:cs="Calibri"/>
                <w:b/>
                <w:lang w:val="en-US"/>
              </w:rPr>
            </w:pPr>
            <w:r w:rsidRPr="002A499D">
              <w:rPr>
                <w:rFonts w:ascii="Calibri" w:hAnsi="Calibri" w:cs="Calibri"/>
                <w:b/>
                <w:bCs/>
              </w:rPr>
              <w:t>Auditor</w:t>
            </w:r>
          </w:p>
        </w:tc>
        <w:tc>
          <w:tcPr>
            <w:tcW w:w="6270" w:type="dxa"/>
            <w:shd w:val="clear" w:color="auto" w:fill="auto"/>
          </w:tcPr>
          <w:p w14:paraId="66DC8A9B" w14:textId="77777777" w:rsidR="002A499D" w:rsidRPr="002A499D" w:rsidRDefault="002A499D" w:rsidP="00F86DE2">
            <w:pPr>
              <w:rPr>
                <w:rFonts w:ascii="Calibri" w:hAnsi="Calibri" w:cs="Calibri"/>
                <w:lang w:val="en-US"/>
              </w:rPr>
            </w:pPr>
            <w:r w:rsidRPr="002A499D">
              <w:rPr>
                <w:rFonts w:ascii="Calibri" w:hAnsi="Calibri" w:cs="Calibri"/>
                <w:lang w:val="en-US"/>
              </w:rPr>
              <w:t>Grant Thornton</w:t>
            </w:r>
          </w:p>
        </w:tc>
      </w:tr>
      <w:tr w:rsidR="002A499D" w:rsidRPr="00C6107B" w14:paraId="4030A7BA" w14:textId="77777777" w:rsidTr="00F86DE2">
        <w:tc>
          <w:tcPr>
            <w:tcW w:w="2756" w:type="dxa"/>
            <w:shd w:val="clear" w:color="auto" w:fill="auto"/>
          </w:tcPr>
          <w:p w14:paraId="5DEDD8F1" w14:textId="77777777" w:rsidR="002A499D" w:rsidRPr="002A499D" w:rsidRDefault="002A499D" w:rsidP="00F86DE2">
            <w:pPr>
              <w:ind w:right="-180"/>
              <w:rPr>
                <w:rFonts w:ascii="Calibri" w:hAnsi="Calibri" w:cs="Calibri"/>
                <w:b/>
                <w:lang w:val="en-US"/>
              </w:rPr>
            </w:pPr>
          </w:p>
        </w:tc>
        <w:tc>
          <w:tcPr>
            <w:tcW w:w="6270" w:type="dxa"/>
            <w:shd w:val="clear" w:color="auto" w:fill="auto"/>
          </w:tcPr>
          <w:p w14:paraId="08A86B7F" w14:textId="77777777" w:rsidR="002A499D" w:rsidRPr="002A499D" w:rsidRDefault="002A499D" w:rsidP="00F86DE2">
            <w:pPr>
              <w:rPr>
                <w:rFonts w:ascii="Calibri" w:hAnsi="Calibri" w:cs="Calibri"/>
                <w:lang w:val="en-US"/>
              </w:rPr>
            </w:pPr>
          </w:p>
        </w:tc>
      </w:tr>
      <w:tr w:rsidR="002A499D" w:rsidRPr="00C6107B" w14:paraId="1C7CBC27" w14:textId="77777777" w:rsidTr="00F86DE2">
        <w:tc>
          <w:tcPr>
            <w:tcW w:w="2756" w:type="dxa"/>
            <w:shd w:val="clear" w:color="auto" w:fill="auto"/>
          </w:tcPr>
          <w:p w14:paraId="259F5414" w14:textId="77777777" w:rsidR="002A499D" w:rsidRPr="002A499D" w:rsidRDefault="002A499D" w:rsidP="00F86DE2">
            <w:pPr>
              <w:ind w:right="-180"/>
              <w:rPr>
                <w:rFonts w:ascii="Calibri" w:hAnsi="Calibri" w:cs="Calibri"/>
                <w:b/>
                <w:lang w:val="en-US"/>
              </w:rPr>
            </w:pPr>
            <w:proofErr w:type="spellStart"/>
            <w:r w:rsidRPr="002A499D">
              <w:rPr>
                <w:rFonts w:ascii="Calibri" w:hAnsi="Calibri" w:cs="Calibri"/>
                <w:b/>
                <w:bCs/>
              </w:rPr>
              <w:t>Tokeniser</w:t>
            </w:r>
            <w:proofErr w:type="spellEnd"/>
            <w:r w:rsidRPr="002A499D">
              <w:rPr>
                <w:rFonts w:ascii="Calibri" w:hAnsi="Calibri" w:cs="Calibri"/>
                <w:b/>
                <w:bCs/>
              </w:rPr>
              <w:t xml:space="preserve"> </w:t>
            </w:r>
          </w:p>
        </w:tc>
        <w:tc>
          <w:tcPr>
            <w:tcW w:w="6270" w:type="dxa"/>
            <w:shd w:val="clear" w:color="auto" w:fill="auto"/>
          </w:tcPr>
          <w:p w14:paraId="6C693E02" w14:textId="77777777" w:rsidR="002A499D" w:rsidRPr="002A499D" w:rsidRDefault="002A499D" w:rsidP="00F86DE2">
            <w:pPr>
              <w:rPr>
                <w:rFonts w:ascii="Calibri" w:hAnsi="Calibri" w:cs="Calibri"/>
                <w:lang w:val="en-US"/>
              </w:rPr>
            </w:pPr>
            <w:r w:rsidRPr="002A499D">
              <w:rPr>
                <w:rFonts w:ascii="Calibri" w:hAnsi="Calibri" w:cs="Calibri"/>
              </w:rPr>
              <w:t>Realize Technology Solutions Limited</w:t>
            </w:r>
          </w:p>
        </w:tc>
      </w:tr>
      <w:tr w:rsidR="002A499D" w:rsidRPr="00C6107B" w14:paraId="6F3876A5" w14:textId="77777777" w:rsidTr="00F86DE2">
        <w:tc>
          <w:tcPr>
            <w:tcW w:w="2756" w:type="dxa"/>
            <w:shd w:val="clear" w:color="auto" w:fill="auto"/>
          </w:tcPr>
          <w:p w14:paraId="784AED85" w14:textId="77777777" w:rsidR="002A499D" w:rsidRPr="002A499D" w:rsidRDefault="002A499D" w:rsidP="00F86DE2">
            <w:pPr>
              <w:ind w:right="-180"/>
              <w:rPr>
                <w:rFonts w:ascii="Calibri" w:hAnsi="Calibri" w:cs="Calibri"/>
                <w:b/>
                <w:lang w:val="en-US"/>
              </w:rPr>
            </w:pPr>
          </w:p>
        </w:tc>
        <w:tc>
          <w:tcPr>
            <w:tcW w:w="6270" w:type="dxa"/>
            <w:shd w:val="clear" w:color="auto" w:fill="auto"/>
          </w:tcPr>
          <w:p w14:paraId="6D8700D9" w14:textId="77777777" w:rsidR="002A499D" w:rsidRPr="002A499D" w:rsidRDefault="002A499D" w:rsidP="00F86DE2">
            <w:pPr>
              <w:rPr>
                <w:rFonts w:ascii="Calibri" w:hAnsi="Calibri" w:cs="Calibri"/>
                <w:lang w:val="en-US"/>
              </w:rPr>
            </w:pPr>
          </w:p>
        </w:tc>
      </w:tr>
      <w:tr w:rsidR="002A499D" w:rsidRPr="00C6107B" w14:paraId="31AEFF9B" w14:textId="77777777" w:rsidTr="00F86DE2">
        <w:tc>
          <w:tcPr>
            <w:tcW w:w="2756" w:type="dxa"/>
            <w:shd w:val="clear" w:color="auto" w:fill="auto"/>
          </w:tcPr>
          <w:p w14:paraId="642C94D8" w14:textId="77777777" w:rsidR="002A499D" w:rsidRPr="002A499D" w:rsidRDefault="002A499D" w:rsidP="00F86DE2">
            <w:pPr>
              <w:ind w:right="-180"/>
              <w:rPr>
                <w:rFonts w:ascii="Calibri" w:hAnsi="Calibri" w:cs="Calibri"/>
                <w:b/>
                <w:lang w:val="en-US"/>
              </w:rPr>
            </w:pPr>
            <w:r w:rsidRPr="002A499D">
              <w:rPr>
                <w:rFonts w:ascii="Calibri" w:hAnsi="Calibri" w:cs="Calibri"/>
                <w:b/>
                <w:bCs/>
              </w:rPr>
              <w:t>Technical Advisor</w:t>
            </w:r>
          </w:p>
        </w:tc>
        <w:tc>
          <w:tcPr>
            <w:tcW w:w="6270" w:type="dxa"/>
            <w:shd w:val="clear" w:color="auto" w:fill="auto"/>
          </w:tcPr>
          <w:p w14:paraId="1D571AE2" w14:textId="77777777" w:rsidR="002A499D" w:rsidRPr="002A499D" w:rsidRDefault="002A499D" w:rsidP="00F86DE2">
            <w:pPr>
              <w:rPr>
                <w:rFonts w:ascii="Calibri" w:hAnsi="Calibri" w:cs="Calibri"/>
                <w:lang w:val="en-US"/>
              </w:rPr>
            </w:pPr>
            <w:proofErr w:type="spellStart"/>
            <w:r w:rsidRPr="002A499D">
              <w:rPr>
                <w:rFonts w:ascii="Calibri" w:hAnsi="Calibri" w:cs="Calibri"/>
              </w:rPr>
              <w:t>Nakama</w:t>
            </w:r>
            <w:proofErr w:type="spellEnd"/>
            <w:r w:rsidRPr="002A499D">
              <w:rPr>
                <w:rFonts w:ascii="Calibri" w:hAnsi="Calibri" w:cs="Calibri"/>
              </w:rPr>
              <w:t xml:space="preserve"> Limited</w:t>
            </w:r>
          </w:p>
        </w:tc>
      </w:tr>
      <w:tr w:rsidR="002A499D" w:rsidRPr="00C6107B" w14:paraId="3D9352BF" w14:textId="77777777" w:rsidTr="00F86DE2">
        <w:tc>
          <w:tcPr>
            <w:tcW w:w="2756" w:type="dxa"/>
            <w:shd w:val="clear" w:color="auto" w:fill="auto"/>
          </w:tcPr>
          <w:p w14:paraId="2190BD4B" w14:textId="77777777" w:rsidR="002A499D" w:rsidRPr="002A499D" w:rsidRDefault="002A499D" w:rsidP="00F86DE2">
            <w:pPr>
              <w:ind w:right="-180"/>
              <w:rPr>
                <w:rFonts w:ascii="Calibri" w:hAnsi="Calibri" w:cs="Calibri"/>
                <w:b/>
                <w:lang w:val="en-US"/>
              </w:rPr>
            </w:pPr>
          </w:p>
        </w:tc>
        <w:tc>
          <w:tcPr>
            <w:tcW w:w="6270" w:type="dxa"/>
            <w:shd w:val="clear" w:color="auto" w:fill="auto"/>
          </w:tcPr>
          <w:p w14:paraId="48BAB3DF" w14:textId="77777777" w:rsidR="002A499D" w:rsidRPr="002A499D" w:rsidRDefault="002A499D" w:rsidP="00F86DE2">
            <w:pPr>
              <w:rPr>
                <w:rFonts w:ascii="Calibri" w:hAnsi="Calibri" w:cs="Calibri"/>
                <w:lang w:val="en-US"/>
              </w:rPr>
            </w:pPr>
          </w:p>
        </w:tc>
      </w:tr>
      <w:tr w:rsidR="002A499D" w:rsidRPr="00C6107B" w14:paraId="6327579F" w14:textId="77777777" w:rsidTr="00F86DE2">
        <w:tc>
          <w:tcPr>
            <w:tcW w:w="2756" w:type="dxa"/>
            <w:shd w:val="clear" w:color="auto" w:fill="auto"/>
          </w:tcPr>
          <w:p w14:paraId="57DA2FF8" w14:textId="77777777" w:rsidR="002A499D" w:rsidRPr="002A499D" w:rsidRDefault="002A499D" w:rsidP="00F86DE2">
            <w:pPr>
              <w:ind w:right="-180"/>
              <w:rPr>
                <w:rFonts w:ascii="Calibri" w:hAnsi="Calibri" w:cs="Calibri"/>
                <w:b/>
                <w:bCs/>
              </w:rPr>
            </w:pPr>
            <w:r w:rsidRPr="002A499D">
              <w:rPr>
                <w:rFonts w:ascii="Calibri" w:hAnsi="Calibri" w:cs="Calibri"/>
                <w:b/>
                <w:bCs/>
              </w:rPr>
              <w:t xml:space="preserve">Legal Counsel to the Fund </w:t>
            </w:r>
          </w:p>
          <w:p w14:paraId="686F1AFA" w14:textId="77777777" w:rsidR="002A499D" w:rsidRPr="002A499D" w:rsidRDefault="002A499D" w:rsidP="00F86DE2">
            <w:pPr>
              <w:ind w:right="-180"/>
              <w:rPr>
                <w:rFonts w:ascii="Calibri" w:hAnsi="Calibri" w:cs="Calibri"/>
                <w:b/>
                <w:lang w:val="en-US"/>
              </w:rPr>
            </w:pPr>
            <w:r w:rsidRPr="002A499D">
              <w:rPr>
                <w:rFonts w:ascii="Calibri" w:hAnsi="Calibri" w:cs="Calibri"/>
                <w:b/>
                <w:bCs/>
              </w:rPr>
              <w:t>and Fund Manager</w:t>
            </w:r>
          </w:p>
        </w:tc>
        <w:tc>
          <w:tcPr>
            <w:tcW w:w="6270" w:type="dxa"/>
            <w:shd w:val="clear" w:color="auto" w:fill="auto"/>
          </w:tcPr>
          <w:p w14:paraId="096AD984" w14:textId="77777777" w:rsidR="002A499D" w:rsidRPr="002A499D" w:rsidRDefault="002A499D" w:rsidP="00F86DE2">
            <w:pPr>
              <w:rPr>
                <w:rFonts w:ascii="Calibri" w:hAnsi="Calibri" w:cs="Calibri"/>
                <w:lang w:val="en-US"/>
              </w:rPr>
            </w:pPr>
            <w:proofErr w:type="spellStart"/>
            <w:r w:rsidRPr="002A499D">
              <w:rPr>
                <w:rFonts w:ascii="Calibri" w:hAnsi="Calibri" w:cs="Calibri"/>
              </w:rPr>
              <w:t>Addleshaw</w:t>
            </w:r>
            <w:proofErr w:type="spellEnd"/>
            <w:r w:rsidRPr="002A499D">
              <w:rPr>
                <w:rFonts w:ascii="Calibri" w:hAnsi="Calibri" w:cs="Calibri"/>
              </w:rPr>
              <w:t xml:space="preserve"> Goddard (Middle East) LLP</w:t>
            </w:r>
          </w:p>
        </w:tc>
      </w:tr>
      <w:tr w:rsidR="002A499D" w:rsidRPr="00C6107B" w14:paraId="2C0FD14A" w14:textId="77777777" w:rsidTr="00F86DE2">
        <w:tc>
          <w:tcPr>
            <w:tcW w:w="2756" w:type="dxa"/>
            <w:shd w:val="clear" w:color="auto" w:fill="auto"/>
          </w:tcPr>
          <w:p w14:paraId="77595137" w14:textId="77777777" w:rsidR="002A499D" w:rsidRPr="002A499D" w:rsidRDefault="002A499D" w:rsidP="00F86DE2">
            <w:pPr>
              <w:ind w:right="-180"/>
              <w:rPr>
                <w:rFonts w:ascii="Calibri" w:hAnsi="Calibri" w:cs="Calibri"/>
                <w:b/>
                <w:lang w:val="en-US"/>
              </w:rPr>
            </w:pPr>
          </w:p>
        </w:tc>
        <w:tc>
          <w:tcPr>
            <w:tcW w:w="6270" w:type="dxa"/>
            <w:shd w:val="clear" w:color="auto" w:fill="auto"/>
          </w:tcPr>
          <w:p w14:paraId="388D9EBF" w14:textId="77777777" w:rsidR="002A499D" w:rsidRPr="002A499D" w:rsidRDefault="002A499D" w:rsidP="00F86DE2">
            <w:pPr>
              <w:rPr>
                <w:rFonts w:ascii="Calibri" w:hAnsi="Calibri" w:cs="Calibri"/>
                <w:lang w:val="en-US"/>
              </w:rPr>
            </w:pPr>
          </w:p>
        </w:tc>
      </w:tr>
    </w:tbl>
    <w:p w14:paraId="79A63D20" w14:textId="6C823B98" w:rsidR="00C5757D" w:rsidRDefault="00C5757D" w:rsidP="00C5757D">
      <w:pPr>
        <w:pStyle w:val="BodyText"/>
        <w:rPr>
          <w:rFonts w:cs="Calibri"/>
        </w:rPr>
      </w:pPr>
      <w:r w:rsidRPr="004126E5">
        <w:rPr>
          <w:rFonts w:cs="Calibri"/>
        </w:rPr>
        <w:br w:type="page"/>
      </w:r>
    </w:p>
    <w:p w14:paraId="01DD08F7" w14:textId="3F202F95" w:rsidR="00783A9D" w:rsidRPr="00CB799A" w:rsidRDefault="00783A9D" w:rsidP="00783A9D">
      <w:pPr>
        <w:pStyle w:val="Level1Heading"/>
        <w:rPr>
          <w:rFonts w:cs="Calibri"/>
          <w:i/>
          <w:iCs/>
        </w:rPr>
      </w:pPr>
      <w:bookmarkStart w:id="15" w:name="_Ref169612802"/>
      <w:bookmarkStart w:id="16" w:name="_Toc169612961"/>
      <w:r>
        <w:rPr>
          <w:rFonts w:cs="Calibri"/>
        </w:rPr>
        <w:lastRenderedPageBreak/>
        <w:t>ARTICLES AND TOKENS</w:t>
      </w:r>
      <w:bookmarkEnd w:id="15"/>
      <w:bookmarkEnd w:id="16"/>
    </w:p>
    <w:p w14:paraId="17AD9445" w14:textId="77777777" w:rsidR="00783A9D" w:rsidRDefault="00783A9D" w:rsidP="00783A9D">
      <w:pPr>
        <w:pStyle w:val="Level2Number"/>
        <w:numPr>
          <w:ilvl w:val="0"/>
          <w:numId w:val="0"/>
        </w:numPr>
      </w:pPr>
    </w:p>
    <w:p w14:paraId="3966EF19" w14:textId="4C24CA31" w:rsidR="00F57C16" w:rsidRPr="004126E5" w:rsidRDefault="00F57C16" w:rsidP="00783A9D">
      <w:pPr>
        <w:pStyle w:val="Level2Number"/>
        <w:numPr>
          <w:ilvl w:val="0"/>
          <w:numId w:val="0"/>
        </w:numPr>
      </w:pPr>
      <w:r>
        <w:t>The following is a summary and extract of certain provisions of the Articles.  The below is not, and should not be taken as being, an exhaustive summary of all provisions of the Articles, and each prospective investor should review the Articles in full.</w:t>
      </w:r>
    </w:p>
    <w:p w14:paraId="7AE77413" w14:textId="77777777" w:rsidR="00783A9D" w:rsidRDefault="00783A9D" w:rsidP="00783A9D">
      <w:pPr>
        <w:pStyle w:val="Level2Number"/>
        <w:rPr>
          <w:b/>
          <w:bCs/>
        </w:rPr>
      </w:pPr>
      <w:r w:rsidRPr="00783A9D">
        <w:rPr>
          <w:b/>
          <w:bCs/>
        </w:rPr>
        <w:t>Articles</w:t>
      </w:r>
    </w:p>
    <w:p w14:paraId="2756B69E" w14:textId="3BA6A31B" w:rsidR="00783A9D" w:rsidRPr="00783A9D" w:rsidRDefault="00783A9D" w:rsidP="00683C9C">
      <w:pPr>
        <w:pStyle w:val="Level3Number"/>
        <w:numPr>
          <w:ilvl w:val="0"/>
          <w:numId w:val="0"/>
        </w:numPr>
        <w:ind w:left="720"/>
        <w:rPr>
          <w:b/>
          <w:bCs/>
        </w:rPr>
      </w:pPr>
      <w:r>
        <w:t>All Token Holders are entitled to the benefit of, are bound by and are deemed to have notice of the provisions of the Articles</w:t>
      </w:r>
      <w:r w:rsidR="00683C9C">
        <w:t xml:space="preserve"> and the Token Purchase Agreement</w:t>
      </w:r>
      <w:r>
        <w:t>.</w:t>
      </w:r>
    </w:p>
    <w:p w14:paraId="44A8985A" w14:textId="77777777" w:rsidR="00783A9D" w:rsidRPr="00184C53" w:rsidRDefault="00783A9D" w:rsidP="00783A9D">
      <w:pPr>
        <w:pStyle w:val="Level2Number"/>
      </w:pPr>
      <w:r w:rsidRPr="00783A9D">
        <w:rPr>
          <w:b/>
          <w:bCs/>
        </w:rPr>
        <w:t>Share</w:t>
      </w:r>
      <w:r w:rsidRPr="00184C53">
        <w:t xml:space="preserve"> </w:t>
      </w:r>
      <w:r w:rsidRPr="00783A9D">
        <w:rPr>
          <w:b/>
          <w:bCs/>
        </w:rPr>
        <w:t>Capital</w:t>
      </w:r>
    </w:p>
    <w:p w14:paraId="44913AEA" w14:textId="2311D741" w:rsidR="00783A9D" w:rsidRPr="00783A9D" w:rsidRDefault="00783A9D" w:rsidP="00783A9D">
      <w:pPr>
        <w:pStyle w:val="Level3Number"/>
        <w:rPr>
          <w:szCs w:val="24"/>
        </w:rPr>
      </w:pPr>
      <w:bookmarkStart w:id="17" w:name="_Hlk169613901"/>
      <w:r w:rsidRPr="00783A9D">
        <w:t>The</w:t>
      </w:r>
      <w:r>
        <w:rPr>
          <w:szCs w:val="24"/>
        </w:rPr>
        <w:t xml:space="preserve"> authorized share </w:t>
      </w:r>
      <w:r w:rsidRPr="00E50F9E">
        <w:t>capital</w:t>
      </w:r>
      <w:r>
        <w:rPr>
          <w:szCs w:val="24"/>
        </w:rPr>
        <w:t xml:space="preserve"> of the Fund is US$1,000 divided into </w:t>
      </w:r>
      <w:r w:rsidRPr="00184C53">
        <w:t>1</w:t>
      </w:r>
      <w:r>
        <w:t>,0</w:t>
      </w:r>
      <w:r w:rsidRPr="00184C53">
        <w:t xml:space="preserve">00 </w:t>
      </w:r>
      <w:r>
        <w:t>ordinary</w:t>
      </w:r>
      <w:r w:rsidRPr="00184C53">
        <w:t xml:space="preserve"> </w:t>
      </w:r>
      <w:r>
        <w:t>s</w:t>
      </w:r>
      <w:r w:rsidRPr="00184C53">
        <w:t xml:space="preserve">hares </w:t>
      </w:r>
      <w:r>
        <w:t>(the "</w:t>
      </w:r>
      <w:r w:rsidRPr="00783A9D">
        <w:rPr>
          <w:b/>
          <w:bCs/>
        </w:rPr>
        <w:t>Shares</w:t>
      </w:r>
      <w:r>
        <w:t xml:space="preserve">") </w:t>
      </w:r>
      <w:r w:rsidRPr="00184C53">
        <w:t>being voting</w:t>
      </w:r>
      <w:r>
        <w:t xml:space="preserve"> and </w:t>
      </w:r>
      <w:r w:rsidRPr="00184C53">
        <w:t>participating</w:t>
      </w:r>
      <w:r>
        <w:t xml:space="preserve"> ordinary</w:t>
      </w:r>
      <w:r w:rsidRPr="00184C53">
        <w:t xml:space="preserve"> shares of nominal value US$1</w:t>
      </w:r>
      <w:r>
        <w:t>.00</w:t>
      </w:r>
      <w:r w:rsidRPr="00184C53">
        <w:t xml:space="preserve"> each all of which have been issued and are held by the Fund Manager. </w:t>
      </w:r>
      <w:r>
        <w:t>The</w:t>
      </w:r>
      <w:r w:rsidRPr="00184C53">
        <w:t xml:space="preserve"> Shares carry one vote per </w:t>
      </w:r>
      <w:r>
        <w:t>S</w:t>
      </w:r>
      <w:r w:rsidRPr="00184C53">
        <w:t>hare</w:t>
      </w:r>
      <w:r>
        <w:t xml:space="preserve"> and exercise all the voting rights of the Fund</w:t>
      </w:r>
      <w:r w:rsidRPr="00184C53">
        <w:t xml:space="preserve">. In a liquidation the Shares rank only for a return of the nominal amount paid up on those shares before any payment to the </w:t>
      </w:r>
      <w:r>
        <w:t>Token Holders</w:t>
      </w:r>
      <w:bookmarkEnd w:id="17"/>
      <w:r w:rsidRPr="00184C53">
        <w:t>.</w:t>
      </w:r>
    </w:p>
    <w:p w14:paraId="128E0D09" w14:textId="431F2F06" w:rsidR="00783A9D" w:rsidRDefault="00783A9D" w:rsidP="00783A9D">
      <w:pPr>
        <w:pStyle w:val="Level3Number"/>
        <w:rPr>
          <w:szCs w:val="24"/>
        </w:rPr>
      </w:pPr>
      <w:r>
        <w:rPr>
          <w:szCs w:val="24"/>
        </w:rPr>
        <w:t>No new Shares shall be issued</w:t>
      </w:r>
      <w:r w:rsidR="00F57C16">
        <w:rPr>
          <w:szCs w:val="24"/>
        </w:rPr>
        <w:t xml:space="preserve"> except in accordance with the Articles.</w:t>
      </w:r>
    </w:p>
    <w:p w14:paraId="00D92985" w14:textId="3A52EDA1" w:rsidR="00783A9D" w:rsidRPr="00184C53" w:rsidRDefault="00C56547" w:rsidP="00783A9D">
      <w:pPr>
        <w:pStyle w:val="Level2Number"/>
      </w:pPr>
      <w:r>
        <w:rPr>
          <w:b/>
          <w:bCs/>
        </w:rPr>
        <w:t>Tokens</w:t>
      </w:r>
    </w:p>
    <w:p w14:paraId="294CA0A3" w14:textId="27E7F806" w:rsidR="00783A9D" w:rsidRDefault="00783A9D" w:rsidP="00783A9D">
      <w:pPr>
        <w:pStyle w:val="Level3Number"/>
        <w:rPr>
          <w:szCs w:val="24"/>
        </w:rPr>
      </w:pPr>
      <w:r w:rsidRPr="00783A9D">
        <w:t>The</w:t>
      </w:r>
      <w:r>
        <w:rPr>
          <w:szCs w:val="24"/>
        </w:rPr>
        <w:t xml:space="preserve"> </w:t>
      </w:r>
      <w:r w:rsidR="00C56547">
        <w:rPr>
          <w:szCs w:val="24"/>
        </w:rPr>
        <w:t>Fund is undertaking an initial token offering investors to right to participate as "Unitholders" in the Fund.  For the purposes of the ADGM Law and FSRA Rules, a Token Holder will constitute a "Unitholder" in the Fund and be afforded the rights attributable to Tokens as set out in the Articles.  Token Holders will not hold Shares or any other interest in the Fund.</w:t>
      </w:r>
    </w:p>
    <w:p w14:paraId="43277BA6" w14:textId="17B940D9" w:rsidR="00C56547" w:rsidRDefault="00C56547" w:rsidP="00783A9D">
      <w:pPr>
        <w:pStyle w:val="Level3Number"/>
        <w:rPr>
          <w:szCs w:val="24"/>
        </w:rPr>
      </w:pPr>
      <w:r>
        <w:rPr>
          <w:szCs w:val="24"/>
        </w:rPr>
        <w:t>Each reference to "Unitholder" in the ADGM Laws and FSRA Rules applicable to the Fund, shall be deemed to be a reference, in the case of the Fund, to a Token Holder.</w:t>
      </w:r>
    </w:p>
    <w:p w14:paraId="5891F02F" w14:textId="670B3B79" w:rsidR="00F57C16" w:rsidRPr="00C56547" w:rsidRDefault="00F57C16" w:rsidP="00F57C16">
      <w:pPr>
        <w:pStyle w:val="Level2Number"/>
        <w:rPr>
          <w:b/>
          <w:bCs/>
        </w:rPr>
      </w:pPr>
      <w:r>
        <w:rPr>
          <w:b/>
          <w:bCs/>
        </w:rPr>
        <w:t>Token Register</w:t>
      </w:r>
    </w:p>
    <w:p w14:paraId="2F472CE4" w14:textId="4A65CC58" w:rsidR="00F57C16" w:rsidRDefault="00F57C16" w:rsidP="00F57C16">
      <w:pPr>
        <w:pStyle w:val="Level3Number"/>
        <w:numPr>
          <w:ilvl w:val="0"/>
          <w:numId w:val="0"/>
        </w:numPr>
        <w:ind w:left="720"/>
        <w:rPr>
          <w:szCs w:val="24"/>
        </w:rPr>
      </w:pPr>
      <w:r w:rsidRPr="00FE07E1">
        <w:rPr>
          <w:szCs w:val="22"/>
        </w:rPr>
        <w:t>The Fund Manager shall maintain a physical record of the Token Holders, and in additional a decentralized ledger of Token Holder shall be maintained which contains the ERC20 address of all wallets that hold all or part of a Token</w:t>
      </w:r>
      <w:r>
        <w:rPr>
          <w:szCs w:val="24"/>
        </w:rPr>
        <w:t>.</w:t>
      </w:r>
    </w:p>
    <w:p w14:paraId="06BAF7B5" w14:textId="66E9232A" w:rsidR="00F57C16" w:rsidRPr="00C56547" w:rsidRDefault="00F57C16" w:rsidP="00F57C16">
      <w:pPr>
        <w:pStyle w:val="Level2Number"/>
        <w:rPr>
          <w:b/>
          <w:bCs/>
        </w:rPr>
      </w:pPr>
      <w:r>
        <w:rPr>
          <w:b/>
          <w:bCs/>
        </w:rPr>
        <w:t>Transfers</w:t>
      </w:r>
    </w:p>
    <w:p w14:paraId="6F63EAA9" w14:textId="77777777" w:rsidR="00F57C16" w:rsidRPr="00F57C16" w:rsidRDefault="00F57C16" w:rsidP="00F57C16">
      <w:pPr>
        <w:pStyle w:val="Level3Number"/>
      </w:pPr>
      <w:r w:rsidRPr="00F57C16">
        <w:rPr>
          <w:szCs w:val="24"/>
        </w:rPr>
        <w:t>Tokens</w:t>
      </w:r>
      <w:r w:rsidRPr="00F57C16">
        <w:t xml:space="preserve"> shall not be transferred to a Restricted Person.</w:t>
      </w:r>
    </w:p>
    <w:p w14:paraId="672E432A" w14:textId="77777777" w:rsidR="00F57C16" w:rsidRPr="00F57C16" w:rsidRDefault="00F57C16" w:rsidP="00F57C16">
      <w:pPr>
        <w:pStyle w:val="Level3Number"/>
      </w:pPr>
      <w:r w:rsidRPr="00F57C16">
        <w:rPr>
          <w:szCs w:val="24"/>
        </w:rPr>
        <w:t>Tokens</w:t>
      </w:r>
      <w:r w:rsidRPr="00F57C16">
        <w:t xml:space="preserve"> shall only be transferred to Professional Clients.</w:t>
      </w:r>
    </w:p>
    <w:p w14:paraId="74D38024" w14:textId="77777777" w:rsidR="00F57C16" w:rsidRPr="00F57C16" w:rsidRDefault="00F57C16" w:rsidP="00F57C16">
      <w:pPr>
        <w:pStyle w:val="Level3Number"/>
        <w:rPr>
          <w:rFonts w:cs="Times New Roman"/>
        </w:rPr>
      </w:pPr>
      <w:r w:rsidRPr="00F57C16">
        <w:rPr>
          <w:rFonts w:cs="Times New Roman"/>
        </w:rPr>
        <w:t xml:space="preserve">No </w:t>
      </w:r>
      <w:r w:rsidRPr="00F57C16">
        <w:rPr>
          <w:szCs w:val="24"/>
        </w:rPr>
        <w:t>Token</w:t>
      </w:r>
      <w:r w:rsidRPr="00F57C16">
        <w:rPr>
          <w:rFonts w:cs="Times New Roman"/>
        </w:rPr>
        <w:t xml:space="preserve"> (or fraction of a Token) may be transferred, assigned or disposed of without the prior written consent of the Board or its authorised agents which shall not be withheld unreasonably.</w:t>
      </w:r>
    </w:p>
    <w:p w14:paraId="35D01BFC" w14:textId="35B9B023" w:rsidR="00F57C16" w:rsidRPr="00F57C16" w:rsidRDefault="00F57C16" w:rsidP="00F57C16">
      <w:pPr>
        <w:pStyle w:val="Level3Number"/>
        <w:rPr>
          <w:szCs w:val="24"/>
        </w:rPr>
      </w:pPr>
      <w:r w:rsidRPr="00FE07E1">
        <w:rPr>
          <w:rFonts w:cs="Times New Roman"/>
        </w:rPr>
        <w:t>In connection with the transfer of a Token, a Token Holder shall be permitted to fractionalise such Token to the extent technologically permissible (subject to approval by the Board)</w:t>
      </w:r>
      <w:r>
        <w:rPr>
          <w:rFonts w:cs="Times New Roman"/>
        </w:rPr>
        <w:t>.</w:t>
      </w:r>
    </w:p>
    <w:p w14:paraId="3675DBF5" w14:textId="4D32C3CE" w:rsidR="00F57C16" w:rsidRPr="00F57C16" w:rsidRDefault="00F57C16" w:rsidP="00F57C16">
      <w:pPr>
        <w:pStyle w:val="Level3Number"/>
        <w:rPr>
          <w:szCs w:val="24"/>
        </w:rPr>
      </w:pPr>
      <w:r w:rsidRPr="00FE07E1">
        <w:rPr>
          <w:rFonts w:cs="Times New Roman"/>
        </w:rPr>
        <w:t>In connection with the transfer of a Token (or fraction thereof), the transferee shall deliver to the Fund Manager</w:t>
      </w:r>
      <w:r w:rsidR="009118FB">
        <w:rPr>
          <w:rFonts w:cs="Times New Roman"/>
        </w:rPr>
        <w:t xml:space="preserve"> and Administrator</w:t>
      </w:r>
      <w:r w:rsidRPr="00FE07E1">
        <w:rPr>
          <w:rFonts w:cs="Times New Roman"/>
        </w:rPr>
        <w:t xml:space="preserve"> all documentation that it reasonable requires, including </w:t>
      </w:r>
      <w:r w:rsidRPr="00FE07E1">
        <w:rPr>
          <w:rFonts w:cs="Times New Roman"/>
        </w:rPr>
        <w:lastRenderedPageBreak/>
        <w:t xml:space="preserve">an agreement adhering such transferee to </w:t>
      </w:r>
      <w:r>
        <w:rPr>
          <w:rFonts w:cs="Times New Roman"/>
        </w:rPr>
        <w:t>the</w:t>
      </w:r>
      <w:r w:rsidRPr="00FE07E1">
        <w:rPr>
          <w:rFonts w:cs="Times New Roman"/>
        </w:rPr>
        <w:t xml:space="preserve"> Articles and documentation evidencing that such transferee is not a Restricted Per</w:t>
      </w:r>
      <w:r>
        <w:rPr>
          <w:rFonts w:cs="Times New Roman"/>
        </w:rPr>
        <w:t>son.</w:t>
      </w:r>
    </w:p>
    <w:p w14:paraId="12AD84D9" w14:textId="018E81FC" w:rsidR="00F57C16" w:rsidRPr="00C56547" w:rsidRDefault="00F57C16" w:rsidP="00F57C16">
      <w:pPr>
        <w:pStyle w:val="Level2Number"/>
        <w:rPr>
          <w:b/>
          <w:bCs/>
        </w:rPr>
      </w:pPr>
      <w:r>
        <w:rPr>
          <w:b/>
          <w:bCs/>
        </w:rPr>
        <w:t>Redemption</w:t>
      </w:r>
    </w:p>
    <w:p w14:paraId="0CDF1517" w14:textId="107C3572" w:rsidR="00F57C16" w:rsidRPr="00F57C16" w:rsidRDefault="009118FB" w:rsidP="00F57C16">
      <w:pPr>
        <w:pStyle w:val="Level3Number"/>
      </w:pPr>
      <w:r w:rsidRPr="00F57C16">
        <w:t xml:space="preserve">A </w:t>
      </w:r>
      <w:r w:rsidRPr="00F57C16">
        <w:rPr>
          <w:rFonts w:cs="Times New Roman"/>
        </w:rPr>
        <w:t>Token</w:t>
      </w:r>
      <w:r w:rsidRPr="00F57C16">
        <w:t xml:space="preserve"> Holder may require the redemption of all or any fraction of such Token Holder’s Tokens as of each Redemption Day by serving a Redemption Notice on the Fund. Unless timely receipt is waived by the Fund Manager in a particular case, a Redemption Notice shall be required to be received </w:t>
      </w:r>
      <w:r>
        <w:t xml:space="preserve">by </w:t>
      </w:r>
      <w:r w:rsidRPr="000B364B">
        <w:t xml:space="preserve">5pm (UAE time) at least five Business Days prior to </w:t>
      </w:r>
      <w:r w:rsidRPr="00F57C16">
        <w:t>a Redemption Day with respect to such Token</w:t>
      </w:r>
      <w:r w:rsidR="00F57C16" w:rsidRPr="00F57C16">
        <w:t>.</w:t>
      </w:r>
    </w:p>
    <w:p w14:paraId="659A5DC4" w14:textId="6C35D49D" w:rsidR="00F57C16" w:rsidRDefault="00F57C16" w:rsidP="00F57C16">
      <w:pPr>
        <w:pStyle w:val="Level3Number"/>
        <w:rPr>
          <w:rFonts w:cs="Times New Roman"/>
        </w:rPr>
      </w:pPr>
      <w:r w:rsidRPr="00F57C16">
        <w:rPr>
          <w:rFonts w:cs="Times New Roman"/>
        </w:rPr>
        <w:t xml:space="preserve">Any amount payable to a Token Holder for the redemption of Tokens shall be in US$ or, with the approval of the relevant Token Holder, Stablecoin or any other fiat currency, digital currency or crypto currency. The Fund shall remit redemption proceeds (net of the costs of remittance) by wire transfer within </w:t>
      </w:r>
      <w:r w:rsidR="004E77E1">
        <w:rPr>
          <w:rFonts w:cs="Times New Roman"/>
        </w:rPr>
        <w:t>two</w:t>
      </w:r>
      <w:r w:rsidRPr="00F57C16">
        <w:rPr>
          <w:rFonts w:cs="Times New Roman"/>
        </w:rPr>
        <w:t xml:space="preserve"> Business Days to the bank account of the Token Holder notified to it, or in the case or payment in Stablecoin or cryptocurrencies, the Token Holders wallet notified to it. The Fund shall not be liable for any loss resulting from this procedure.</w:t>
      </w:r>
    </w:p>
    <w:p w14:paraId="63186CD2" w14:textId="7FBB9AF5" w:rsidR="00463D8F" w:rsidRPr="00C56547" w:rsidRDefault="00463D8F" w:rsidP="00463D8F">
      <w:pPr>
        <w:pStyle w:val="Level2Number"/>
        <w:rPr>
          <w:b/>
          <w:bCs/>
        </w:rPr>
      </w:pPr>
      <w:r>
        <w:rPr>
          <w:b/>
          <w:bCs/>
        </w:rPr>
        <w:t>Gates</w:t>
      </w:r>
    </w:p>
    <w:p w14:paraId="493DCE19" w14:textId="2C43324A" w:rsidR="00463D8F" w:rsidRDefault="00463D8F" w:rsidP="00463D8F">
      <w:pPr>
        <w:pStyle w:val="Level3Number"/>
        <w:numPr>
          <w:ilvl w:val="0"/>
          <w:numId w:val="0"/>
        </w:numPr>
        <w:ind w:left="720"/>
        <w:rPr>
          <w:szCs w:val="22"/>
        </w:rPr>
      </w:pPr>
      <w:r w:rsidRPr="00FE07E1">
        <w:rPr>
          <w:szCs w:val="22"/>
        </w:rPr>
        <w:t>If redemption notices are received by the Fund in respect of any Redemption Day in relation to Tokens with an aggregate Net Asset Value of more than 20% of the Net Asset Value of the Fund, the Fund Manager may, if it determines in good faith that it would otherwise materially adversely affect non-redeeming Token Holders, reduce each request for redemptions pursuant to such redemption notices pro rata, as between those Tokens sought to be redeemed, so that only Tokens with an aggregate Net Asset Value equal to 20% (or such higher percentage as the Fund Manager in its discretion may determine) of the Net Asset Value of Fund are redeemed on any Redemption Day</w:t>
      </w:r>
      <w:r>
        <w:rPr>
          <w:szCs w:val="22"/>
        </w:rPr>
        <w:t>.</w:t>
      </w:r>
    </w:p>
    <w:p w14:paraId="439C9F16" w14:textId="30057F27" w:rsidR="00463D8F" w:rsidRPr="00C56547" w:rsidRDefault="00463D8F" w:rsidP="00463D8F">
      <w:pPr>
        <w:pStyle w:val="Level2Number"/>
        <w:rPr>
          <w:b/>
          <w:bCs/>
        </w:rPr>
      </w:pPr>
      <w:r>
        <w:rPr>
          <w:b/>
          <w:bCs/>
        </w:rPr>
        <w:t>Compulsory Redemption</w:t>
      </w:r>
    </w:p>
    <w:p w14:paraId="7F2276E2" w14:textId="1B220D30" w:rsidR="00463D8F" w:rsidRPr="00FE07E1" w:rsidRDefault="00463D8F" w:rsidP="00463D8F">
      <w:pPr>
        <w:pStyle w:val="Level3Number"/>
      </w:pPr>
      <w:r w:rsidRPr="00FE07E1">
        <w:t xml:space="preserve">The Fund may compulsorily redeem all or any of the Tokens (or any fraction of a Token held by a Token </w:t>
      </w:r>
      <w:r w:rsidRPr="00463D8F">
        <w:rPr>
          <w:rFonts w:cs="Times New Roman"/>
        </w:rPr>
        <w:t>Holder</w:t>
      </w:r>
      <w:r w:rsidRPr="00FE07E1">
        <w:t>) at any time for any reason, including, if, in the opinion of the Board, (</w:t>
      </w:r>
      <w:proofErr w:type="spellStart"/>
      <w:r w:rsidRPr="00FE07E1">
        <w:t>i</w:t>
      </w:r>
      <w:proofErr w:type="spellEnd"/>
      <w:r w:rsidRPr="00FE07E1">
        <w:t xml:space="preserve">) the subscription for, or holding of, Tokens (or any fraction thereof) by such person is, was or may be in any way unlawful or detrimental to the interests or well-being of the Fund, (ii) the Token Holder is a Restricted Person, or (iii) the representations in such Token Holder’s </w:t>
      </w:r>
      <w:r w:rsidR="006D4C23">
        <w:t>token purchase</w:t>
      </w:r>
      <w:r w:rsidRPr="00FE07E1">
        <w:t xml:space="preserve"> agreement were not true or have ceased to be true.</w:t>
      </w:r>
    </w:p>
    <w:p w14:paraId="6837B2B6" w14:textId="77777777" w:rsidR="00463D8F" w:rsidRPr="00FE07E1" w:rsidRDefault="00463D8F" w:rsidP="00463D8F">
      <w:pPr>
        <w:pStyle w:val="Level3Number"/>
        <w:rPr>
          <w:rFonts w:cs="Times New Roman"/>
        </w:rPr>
      </w:pPr>
      <w:r w:rsidRPr="00FE07E1">
        <w:rPr>
          <w:rFonts w:cs="Times New Roman"/>
        </w:rPr>
        <w:t>In the event of a compulsory redemption, the Fund shall retain all the proceeds arising from the liquidation of the Fund assets relating to the Tokens in a bank account and will distribute the proceeds to the relevant Token Holder based on the Net Asset Value of the Tokens at the date of the compulsory redemption or if such day is not a Valuation Day such Net Asset Value of the Tokens as at the Valuation Day immediately prior to the date such redemption, subject to each Token Holder not being a Restricted Person, and providing they are a Professional Client.</w:t>
      </w:r>
    </w:p>
    <w:p w14:paraId="3BCFDEA3" w14:textId="6D092BBD" w:rsidR="00463D8F" w:rsidRPr="00683C9C" w:rsidRDefault="00463D8F" w:rsidP="00463D8F">
      <w:pPr>
        <w:pStyle w:val="Level2Number"/>
        <w:rPr>
          <w:b/>
          <w:bCs/>
          <w:szCs w:val="22"/>
        </w:rPr>
      </w:pPr>
      <w:bookmarkStart w:id="18" w:name="_Toc167437193"/>
      <w:r w:rsidRPr="00683C9C">
        <w:rPr>
          <w:b/>
          <w:bCs/>
        </w:rPr>
        <w:t>Token</w:t>
      </w:r>
      <w:r w:rsidRPr="00683C9C">
        <w:rPr>
          <w:b/>
          <w:bCs/>
          <w:szCs w:val="22"/>
        </w:rPr>
        <w:t xml:space="preserve"> </w:t>
      </w:r>
      <w:r w:rsidR="00683C9C" w:rsidRPr="00683C9C">
        <w:rPr>
          <w:b/>
          <w:bCs/>
          <w:szCs w:val="22"/>
        </w:rPr>
        <w:t>D</w:t>
      </w:r>
      <w:r w:rsidRPr="00683C9C">
        <w:rPr>
          <w:b/>
          <w:bCs/>
          <w:szCs w:val="22"/>
        </w:rPr>
        <w:t>iscontinuance</w:t>
      </w:r>
      <w:bookmarkEnd w:id="18"/>
    </w:p>
    <w:p w14:paraId="309CE9FC" w14:textId="71354BCA" w:rsidR="00463D8F" w:rsidRPr="00FE07E1" w:rsidRDefault="00463D8F" w:rsidP="00683C9C">
      <w:pPr>
        <w:pStyle w:val="Level3Number"/>
        <w:numPr>
          <w:ilvl w:val="0"/>
          <w:numId w:val="0"/>
        </w:numPr>
        <w:ind w:left="720"/>
      </w:pPr>
      <w:bookmarkStart w:id="19" w:name="_Ref167437214"/>
      <w:r w:rsidRPr="00FE07E1">
        <w:t xml:space="preserve">If an event occurs, which in the sole discretion of the Board requires a discontinuation of the Tokens, the Fund has the right to terminate the Tokens at a date of its choice, without providing for a specific reason, by notifying the Token Holders </w:t>
      </w:r>
      <w:proofErr w:type="gramStart"/>
      <w:r w:rsidRPr="00FE07E1">
        <w:t>at the earliest possible date</w:t>
      </w:r>
      <w:proofErr w:type="gramEnd"/>
      <w:r w:rsidRPr="00FE07E1">
        <w:t xml:space="preserve">, in any event no later than 30 </w:t>
      </w:r>
      <w:r w:rsidR="004B1E89">
        <w:t>Business Day</w:t>
      </w:r>
      <w:r w:rsidRPr="00FE07E1">
        <w:t xml:space="preserve">s prior to the </w:t>
      </w:r>
      <w:r w:rsidR="00683C9C">
        <w:t>t</w:t>
      </w:r>
      <w:r w:rsidRPr="00FE07E1">
        <w:t xml:space="preserve">ermination </w:t>
      </w:r>
      <w:r w:rsidR="00683C9C">
        <w:t>d</w:t>
      </w:r>
      <w:r w:rsidRPr="00FE07E1">
        <w:t>ate</w:t>
      </w:r>
      <w:r w:rsidR="00683C9C">
        <w:t>.</w:t>
      </w:r>
      <w:r w:rsidRPr="00FE07E1">
        <w:t xml:space="preserve"> The Fund</w:t>
      </w:r>
      <w:r w:rsidR="00683C9C">
        <w:t>'s rights</w:t>
      </w:r>
      <w:r w:rsidRPr="00FE07E1">
        <w:t xml:space="preserve"> may for example (but not limited to), be exercised:</w:t>
      </w:r>
      <w:bookmarkEnd w:id="19"/>
    </w:p>
    <w:p w14:paraId="0EC92910" w14:textId="77777777" w:rsidR="00463D8F" w:rsidRPr="00683C9C" w:rsidRDefault="00463D8F" w:rsidP="00683C9C">
      <w:pPr>
        <w:pStyle w:val="Level4Number"/>
        <w:rPr>
          <w:rFonts w:cs="Times New Roman"/>
        </w:rPr>
      </w:pPr>
      <w:r w:rsidRPr="00683C9C">
        <w:rPr>
          <w:rFonts w:cs="Times New Roman"/>
        </w:rPr>
        <w:lastRenderedPageBreak/>
        <w:t xml:space="preserve">if the Fund has determined and documented respectively that the investments into which the Fund has invested have permanently ceased to be </w:t>
      </w:r>
      <w:proofErr w:type="gramStart"/>
      <w:r w:rsidRPr="00683C9C">
        <w:rPr>
          <w:rFonts w:cs="Times New Roman"/>
        </w:rPr>
        <w:t>liquid;</w:t>
      </w:r>
      <w:proofErr w:type="gramEnd"/>
    </w:p>
    <w:p w14:paraId="56390D59" w14:textId="77777777" w:rsidR="00463D8F" w:rsidRPr="00683C9C" w:rsidRDefault="00463D8F" w:rsidP="00683C9C">
      <w:pPr>
        <w:pStyle w:val="Level4Number"/>
        <w:rPr>
          <w:rFonts w:cs="Times New Roman"/>
        </w:rPr>
      </w:pPr>
      <w:r w:rsidRPr="00683C9C">
        <w:rPr>
          <w:rFonts w:cs="Times New Roman"/>
        </w:rPr>
        <w:t xml:space="preserve">if compliance by the Fund with the obligations under the Investments or any transaction in respect of its investment objective will become unlawful or impossible in whole or in part, in particular as a result of compliance by the Fund with any future law, rule, regulation, judgement, order or directive of any governmental, administrative, legislative or judicial authority or power or controlling authority or of the relevant competent market </w:t>
      </w:r>
      <w:proofErr w:type="gramStart"/>
      <w:r w:rsidRPr="00683C9C">
        <w:rPr>
          <w:rFonts w:cs="Times New Roman"/>
        </w:rPr>
        <w:t>authorities;</w:t>
      </w:r>
      <w:proofErr w:type="gramEnd"/>
    </w:p>
    <w:p w14:paraId="65C1F48F" w14:textId="77777777" w:rsidR="00463D8F" w:rsidRPr="00683C9C" w:rsidRDefault="00463D8F" w:rsidP="00683C9C">
      <w:pPr>
        <w:pStyle w:val="Level4Number"/>
        <w:rPr>
          <w:rFonts w:cs="Times New Roman"/>
        </w:rPr>
      </w:pPr>
      <w:r w:rsidRPr="00683C9C">
        <w:rPr>
          <w:rFonts w:cs="Times New Roman"/>
        </w:rPr>
        <w:t xml:space="preserve">in the event that any present or future taxes, duties or governmental charges would be imposed by any jurisdiction in which the Fund is or becomes subject to tax as a result of any change in laws or regulations of the relevant </w:t>
      </w:r>
      <w:proofErr w:type="gramStart"/>
      <w:r w:rsidRPr="00683C9C">
        <w:rPr>
          <w:rFonts w:cs="Times New Roman"/>
        </w:rPr>
        <w:t>jurisdiction;</w:t>
      </w:r>
      <w:proofErr w:type="gramEnd"/>
    </w:p>
    <w:p w14:paraId="5CCFFAFF" w14:textId="77777777" w:rsidR="00463D8F" w:rsidRPr="00683C9C" w:rsidRDefault="00463D8F" w:rsidP="00683C9C">
      <w:pPr>
        <w:pStyle w:val="Level4Number"/>
        <w:rPr>
          <w:rFonts w:cs="Times New Roman"/>
        </w:rPr>
      </w:pPr>
      <w:r w:rsidRPr="00683C9C">
        <w:rPr>
          <w:rFonts w:cs="Times New Roman"/>
        </w:rPr>
        <w:t xml:space="preserve">in the event a major service provider stops providing its services, such as, but not limited to, brokerage services, paying account provider services, tokenization services, security agent services, securities custody services or KYC </w:t>
      </w:r>
      <w:proofErr w:type="gramStart"/>
      <w:r w:rsidRPr="00683C9C">
        <w:rPr>
          <w:rFonts w:cs="Times New Roman"/>
        </w:rPr>
        <w:t>services;</w:t>
      </w:r>
      <w:proofErr w:type="gramEnd"/>
    </w:p>
    <w:p w14:paraId="31DCFBCD" w14:textId="77777777" w:rsidR="00463D8F" w:rsidRPr="00683C9C" w:rsidRDefault="00463D8F" w:rsidP="00683C9C">
      <w:pPr>
        <w:pStyle w:val="Level4Number"/>
        <w:rPr>
          <w:rFonts w:cs="Times New Roman"/>
        </w:rPr>
      </w:pPr>
      <w:r w:rsidRPr="00683C9C">
        <w:rPr>
          <w:rFonts w:cs="Times New Roman"/>
        </w:rPr>
        <w:t xml:space="preserve">in the event of the Fund’s investments having a fixed maturity date and such having reached their </w:t>
      </w:r>
      <w:proofErr w:type="gramStart"/>
      <w:r w:rsidRPr="00683C9C">
        <w:rPr>
          <w:rFonts w:cs="Times New Roman"/>
        </w:rPr>
        <w:t>maturity;</w:t>
      </w:r>
      <w:proofErr w:type="gramEnd"/>
    </w:p>
    <w:p w14:paraId="05B4C849" w14:textId="77777777" w:rsidR="00463D8F" w:rsidRPr="00683C9C" w:rsidRDefault="00463D8F" w:rsidP="00683C9C">
      <w:pPr>
        <w:pStyle w:val="Level4Number"/>
        <w:rPr>
          <w:rFonts w:cs="Times New Roman"/>
        </w:rPr>
      </w:pPr>
      <w:proofErr w:type="gramStart"/>
      <w:r w:rsidRPr="00683C9C">
        <w:rPr>
          <w:rFonts w:cs="Times New Roman"/>
        </w:rPr>
        <w:t>in the event that</w:t>
      </w:r>
      <w:proofErr w:type="gramEnd"/>
      <w:r w:rsidRPr="00683C9C">
        <w:rPr>
          <w:rFonts w:cs="Times New Roman"/>
        </w:rPr>
        <w:t xml:space="preserve"> the Fund infers that technological and/or operational risks related to the ledger-based technology being used have significantly increased.</w:t>
      </w:r>
    </w:p>
    <w:p w14:paraId="3D1B8E54" w14:textId="77777777" w:rsidR="00463D8F" w:rsidRPr="00FE07E1" w:rsidRDefault="00463D8F" w:rsidP="00463D8F">
      <w:pPr>
        <w:pStyle w:val="Level2Number"/>
        <w:rPr>
          <w:szCs w:val="22"/>
        </w:rPr>
      </w:pPr>
      <w:bookmarkStart w:id="20" w:name="_Ref167368893"/>
      <w:bookmarkStart w:id="21" w:name="_Toc167437195"/>
      <w:bookmarkStart w:id="22" w:name="_Ref167298325"/>
      <w:r w:rsidRPr="00463D8F">
        <w:rPr>
          <w:b/>
          <w:bCs/>
        </w:rPr>
        <w:t>Suspension</w:t>
      </w:r>
      <w:bookmarkEnd w:id="20"/>
      <w:bookmarkEnd w:id="21"/>
    </w:p>
    <w:p w14:paraId="652FFA5D" w14:textId="77777777" w:rsidR="00463D8F" w:rsidRPr="00FE07E1" w:rsidRDefault="00463D8F" w:rsidP="00683C9C">
      <w:pPr>
        <w:pStyle w:val="Level4Number"/>
        <w:numPr>
          <w:ilvl w:val="0"/>
          <w:numId w:val="0"/>
        </w:numPr>
        <w:ind w:left="720"/>
      </w:pPr>
      <w:r w:rsidRPr="00FE07E1">
        <w:t xml:space="preserve">The Board may suspend the determination of Net Asset Value per Token and the rights of Token Holders </w:t>
      </w:r>
      <w:r w:rsidRPr="00683C9C">
        <w:rPr>
          <w:rFonts w:cs="Times New Roman"/>
        </w:rPr>
        <w:t>to</w:t>
      </w:r>
      <w:r w:rsidRPr="00FE07E1">
        <w:t xml:space="preserve"> acquire or redeem Tokens (in whole or in part) during any period when:</w:t>
      </w:r>
      <w:bookmarkEnd w:id="22"/>
    </w:p>
    <w:p w14:paraId="7CA4B76B" w14:textId="77777777" w:rsidR="00463D8F" w:rsidRPr="00FE07E1" w:rsidRDefault="00463D8F" w:rsidP="00683C9C">
      <w:pPr>
        <w:pStyle w:val="Level4Number"/>
      </w:pPr>
      <w:r w:rsidRPr="00FE07E1">
        <w:t xml:space="preserve">any market or exchange on which a substantial part of the investments owned by the Fund are traded is closed, other than for ordinary holidays, or dealings thereon are </w:t>
      </w:r>
      <w:r w:rsidRPr="00683C9C">
        <w:rPr>
          <w:rFonts w:cs="Times New Roman"/>
        </w:rPr>
        <w:t>restricted</w:t>
      </w:r>
      <w:r w:rsidRPr="00FE07E1">
        <w:t xml:space="preserve"> or </w:t>
      </w:r>
      <w:proofErr w:type="gramStart"/>
      <w:r w:rsidRPr="00FE07E1">
        <w:t>suspended;</w:t>
      </w:r>
      <w:proofErr w:type="gramEnd"/>
    </w:p>
    <w:p w14:paraId="561D8AD1" w14:textId="77777777" w:rsidR="00463D8F" w:rsidRPr="00FE07E1" w:rsidRDefault="00463D8F" w:rsidP="00683C9C">
      <w:pPr>
        <w:pStyle w:val="Level4Number"/>
      </w:pPr>
      <w:r w:rsidRPr="00FE07E1">
        <w:t xml:space="preserve">there exists any state of affairs that constitute a state of emergency or period of extreme </w:t>
      </w:r>
      <w:r w:rsidRPr="00683C9C">
        <w:rPr>
          <w:rFonts w:cs="Times New Roman"/>
        </w:rPr>
        <w:t>volatility</w:t>
      </w:r>
      <w:r w:rsidRPr="00FE07E1">
        <w:t xml:space="preserve"> or illiquidity as a result of which (</w:t>
      </w:r>
      <w:proofErr w:type="spellStart"/>
      <w:r w:rsidRPr="00FE07E1">
        <w:t>i</w:t>
      </w:r>
      <w:proofErr w:type="spellEnd"/>
      <w:r w:rsidRPr="00FE07E1">
        <w:t>) disposal of some or all of the investments of the Fund would not be reasonably practicable or cannot be completed in a timely fashion to meet redemption requirements and might seriously prejudice the Token Holders or the Fund or (ii) it is not reasonably practicable for the Fund to determine fairly the value of its net assets;</w:t>
      </w:r>
    </w:p>
    <w:p w14:paraId="46635302" w14:textId="77777777" w:rsidR="00463D8F" w:rsidRPr="00FE07E1" w:rsidRDefault="00463D8F" w:rsidP="00683C9C">
      <w:pPr>
        <w:pStyle w:val="Level4Number"/>
      </w:pPr>
      <w:r w:rsidRPr="00FE07E1">
        <w:t xml:space="preserve">there is a breakdown in the means of communication normally employed in determining the prices of a substantial part of the investments of the </w:t>
      </w:r>
      <w:proofErr w:type="gramStart"/>
      <w:r w:rsidRPr="00FE07E1">
        <w:t>Fund;</w:t>
      </w:r>
      <w:proofErr w:type="gramEnd"/>
    </w:p>
    <w:p w14:paraId="6B7460D2" w14:textId="7D510EB4" w:rsidR="00463D8F" w:rsidRPr="00FE07E1" w:rsidRDefault="00463D8F" w:rsidP="00683C9C">
      <w:pPr>
        <w:pStyle w:val="Level4Number"/>
      </w:pPr>
      <w:r w:rsidRPr="00683C9C">
        <w:rPr>
          <w:rFonts w:cs="Times New Roman"/>
        </w:rPr>
        <w:t>none</w:t>
      </w:r>
      <w:r w:rsidRPr="00FE07E1">
        <w:t xml:space="preserve"> of the requests for redemption that have been made may be lawfully satisfied by the Fund in US</w:t>
      </w:r>
      <w:r w:rsidR="00683C9C">
        <w:t>$</w:t>
      </w:r>
      <w:r w:rsidRPr="00FE07E1">
        <w:t xml:space="preserve"> or, if applicable, </w:t>
      </w:r>
      <w:proofErr w:type="gramStart"/>
      <w:r w:rsidRPr="00FE07E1">
        <w:t>Stablecoin;</w:t>
      </w:r>
      <w:proofErr w:type="gramEnd"/>
      <w:r w:rsidRPr="00FE07E1">
        <w:t xml:space="preserve"> </w:t>
      </w:r>
    </w:p>
    <w:p w14:paraId="6AB3441C" w14:textId="77777777" w:rsidR="00463D8F" w:rsidRPr="00FE07E1" w:rsidRDefault="00463D8F" w:rsidP="00683C9C">
      <w:pPr>
        <w:pStyle w:val="Level4Number"/>
      </w:pPr>
      <w:r w:rsidRPr="00FE07E1">
        <w:t xml:space="preserve">in its sole discretion, acting in good faith, a material adverse change or disruption has </w:t>
      </w:r>
      <w:r w:rsidRPr="00683C9C">
        <w:rPr>
          <w:rFonts w:cs="Times New Roman"/>
        </w:rPr>
        <w:t>occurred</w:t>
      </w:r>
      <w:r w:rsidRPr="00FE07E1">
        <w:t xml:space="preserve"> in the financial, banking or capital markets generally, which has had or could reasonably be expected to have a material adverse effect on the Fund; or</w:t>
      </w:r>
    </w:p>
    <w:p w14:paraId="5B1D1284" w14:textId="488B9913" w:rsidR="00463D8F" w:rsidRDefault="00463D8F" w:rsidP="00683C9C">
      <w:pPr>
        <w:pStyle w:val="Level4Number"/>
      </w:pPr>
      <w:r w:rsidRPr="00FE07E1">
        <w:t>in its sole discretion, acting in good faith, the Board deems such to be in the interests of the Fund or the Token Holders</w:t>
      </w:r>
      <w:r w:rsidR="00683C9C">
        <w:t>.</w:t>
      </w:r>
    </w:p>
    <w:p w14:paraId="7DF2A94F" w14:textId="24FBF31D" w:rsidR="00683C9C" w:rsidRPr="00FE07E1" w:rsidRDefault="00683C9C" w:rsidP="00683C9C">
      <w:pPr>
        <w:pStyle w:val="Level2Number"/>
        <w:rPr>
          <w:szCs w:val="22"/>
        </w:rPr>
      </w:pPr>
      <w:r>
        <w:rPr>
          <w:b/>
          <w:bCs/>
        </w:rPr>
        <w:t>Net Asset Value</w:t>
      </w:r>
    </w:p>
    <w:p w14:paraId="0812F523" w14:textId="7EC2657A" w:rsidR="00683C9C" w:rsidRDefault="00683C9C" w:rsidP="00683C9C">
      <w:pPr>
        <w:pStyle w:val="Level3Number"/>
      </w:pPr>
      <w:r>
        <w:lastRenderedPageBreak/>
        <w:t>The Net Asset Value of the Fund and the Net Asset Value per Token shall be calculated, in US$, by the Administrator as at the close of business on the relevant Valuation Day (or at such other times as the Fund Manager may determine). The Subscription Price and Redemption Price will be available upon request from the Fund Manager or the Administrator.</w:t>
      </w:r>
    </w:p>
    <w:p w14:paraId="5A52E88D" w14:textId="0CF9748F" w:rsidR="00683C9C" w:rsidRDefault="00683C9C" w:rsidP="00683C9C">
      <w:pPr>
        <w:pStyle w:val="Level3Number"/>
      </w:pPr>
      <w:r>
        <w:t>The Net Asset Value of the Fund will be equivalent to all the assets less all the liabilities of the Fund as at the Valuation Day.</w:t>
      </w:r>
    </w:p>
    <w:p w14:paraId="50D8C6C3" w14:textId="51521C0A" w:rsidR="00683C9C" w:rsidRDefault="00683C9C" w:rsidP="00683C9C">
      <w:pPr>
        <w:pStyle w:val="Level3Number"/>
      </w:pPr>
      <w:r>
        <w:t>The Net Asset Value per Token is determined</w:t>
      </w:r>
      <w:r w:rsidR="004E77E1">
        <w:t xml:space="preserve"> daily</w:t>
      </w:r>
      <w:r>
        <w:t xml:space="preserve"> by dividing the Net Asset Value of the Fund by the number of Tokens in the Fund as at the relevant Valuation Day, the result being rounded to the nearest cent.  The value of the assets of the Fund shall be determined by the Fund Manager. Assets will be valued in accordance with the Fund Manager’s valuation policy.  The Fund Manager may, at its discretion, permit any other method of valuation to be used if it considers that such method of valuation better reflects value generally or </w:t>
      </w:r>
      <w:proofErr w:type="gramStart"/>
      <w:r>
        <w:t>in particular markets</w:t>
      </w:r>
      <w:proofErr w:type="gramEnd"/>
      <w:r>
        <w:t xml:space="preserve"> or market conditions and is in accordance with good accounting practice.</w:t>
      </w:r>
    </w:p>
    <w:p w14:paraId="7BBB5FB5" w14:textId="77777777" w:rsidR="00783A9D" w:rsidRPr="00C56547" w:rsidRDefault="00783A9D" w:rsidP="00C56547">
      <w:pPr>
        <w:pStyle w:val="Level2Number"/>
        <w:rPr>
          <w:b/>
          <w:bCs/>
        </w:rPr>
      </w:pPr>
      <w:r w:rsidRPr="00C56547">
        <w:rPr>
          <w:b/>
          <w:bCs/>
        </w:rPr>
        <w:t>Amendments</w:t>
      </w:r>
    </w:p>
    <w:p w14:paraId="5E53A26E" w14:textId="32DB584E" w:rsidR="00783A9D" w:rsidRDefault="00C56547" w:rsidP="00F57C16">
      <w:pPr>
        <w:pStyle w:val="Level3Number"/>
        <w:numPr>
          <w:ilvl w:val="0"/>
          <w:numId w:val="0"/>
        </w:numPr>
        <w:ind w:left="720"/>
        <w:rPr>
          <w:szCs w:val="24"/>
        </w:rPr>
      </w:pPr>
      <w:r>
        <w:rPr>
          <w:szCs w:val="24"/>
        </w:rPr>
        <w:t>T</w:t>
      </w:r>
      <w:r w:rsidR="00783A9D">
        <w:rPr>
          <w:szCs w:val="24"/>
        </w:rPr>
        <w:t>he Articles may be amended by a Special Resolution of the Shares</w:t>
      </w:r>
      <w:r w:rsidR="00B0460C">
        <w:rPr>
          <w:szCs w:val="24"/>
        </w:rPr>
        <w:t xml:space="preserve">, </w:t>
      </w:r>
      <w:proofErr w:type="gramStart"/>
      <w:r w:rsidR="00D6653D">
        <w:rPr>
          <w:szCs w:val="24"/>
        </w:rPr>
        <w:t>provided that</w:t>
      </w:r>
      <w:proofErr w:type="gramEnd"/>
      <w:r w:rsidR="00D6653D">
        <w:rPr>
          <w:szCs w:val="24"/>
        </w:rPr>
        <w:t xml:space="preserve"> amendments to certain articles, require </w:t>
      </w:r>
      <w:r w:rsidR="00B0460C">
        <w:rPr>
          <w:szCs w:val="24"/>
        </w:rPr>
        <w:t xml:space="preserve">the approval of </w:t>
      </w:r>
      <w:r w:rsidR="00D6653D">
        <w:rPr>
          <w:szCs w:val="24"/>
        </w:rPr>
        <w:t xml:space="preserve">Token Holders </w:t>
      </w:r>
      <w:r w:rsidR="00D85975">
        <w:rPr>
          <w:szCs w:val="24"/>
        </w:rPr>
        <w:t>hold</w:t>
      </w:r>
      <w:r w:rsidR="00D6653D">
        <w:rPr>
          <w:szCs w:val="24"/>
        </w:rPr>
        <w:t>ing</w:t>
      </w:r>
      <w:r w:rsidR="00D85975">
        <w:rPr>
          <w:szCs w:val="24"/>
        </w:rPr>
        <w:t xml:space="preserve"> </w:t>
      </w:r>
      <w:r w:rsidR="00B0460C">
        <w:rPr>
          <w:szCs w:val="24"/>
        </w:rPr>
        <w:t>more than 50% of the Tokens.</w:t>
      </w:r>
    </w:p>
    <w:p w14:paraId="0066874B" w14:textId="77777777" w:rsidR="00783A9D" w:rsidRPr="00184C53" w:rsidRDefault="00783A9D" w:rsidP="00B0460C">
      <w:pPr>
        <w:pStyle w:val="Level2Number"/>
      </w:pPr>
      <w:r w:rsidRPr="00B0460C">
        <w:rPr>
          <w:b/>
          <w:bCs/>
        </w:rPr>
        <w:t>Winding-Up</w:t>
      </w:r>
    </w:p>
    <w:p w14:paraId="4D08B024" w14:textId="77777777" w:rsidR="00B0460C" w:rsidRDefault="00783A9D" w:rsidP="00B0460C">
      <w:pPr>
        <w:pStyle w:val="Level3Number"/>
        <w:rPr>
          <w:szCs w:val="24"/>
        </w:rPr>
      </w:pPr>
      <w:r>
        <w:rPr>
          <w:szCs w:val="24"/>
        </w:rPr>
        <w:t>The Fund may be wound up, at any time, by:</w:t>
      </w:r>
    </w:p>
    <w:p w14:paraId="3DC50170" w14:textId="15BE9FE4" w:rsidR="00783A9D" w:rsidRPr="00B0460C" w:rsidRDefault="00783A9D" w:rsidP="00B0460C">
      <w:pPr>
        <w:pStyle w:val="Level4Number"/>
        <w:rPr>
          <w:szCs w:val="24"/>
        </w:rPr>
      </w:pPr>
      <w:r w:rsidRPr="00184C53">
        <w:t xml:space="preserve">court </w:t>
      </w:r>
      <w:proofErr w:type="gramStart"/>
      <w:r w:rsidRPr="00184C53">
        <w:t>order;</w:t>
      </w:r>
      <w:proofErr w:type="gramEnd"/>
    </w:p>
    <w:p w14:paraId="49D501ED" w14:textId="77777777" w:rsidR="00783A9D" w:rsidRPr="00184C53" w:rsidRDefault="00783A9D" w:rsidP="00B0460C">
      <w:pPr>
        <w:pStyle w:val="Level4Number"/>
      </w:pPr>
      <w:r w:rsidRPr="00184C53">
        <w:t>a Special Resolution directing the Fund Manager to wind up the Fund; or</w:t>
      </w:r>
    </w:p>
    <w:p w14:paraId="0BB7AB94" w14:textId="5CF122C8" w:rsidR="00783A9D" w:rsidRPr="00184C53" w:rsidRDefault="00783A9D" w:rsidP="00B0460C">
      <w:pPr>
        <w:pStyle w:val="Level4Number"/>
      </w:pPr>
      <w:r w:rsidRPr="00184C53">
        <w:t xml:space="preserve">otherwise in accordance with the </w:t>
      </w:r>
      <w:r w:rsidR="00B0460C">
        <w:t xml:space="preserve">ADGM Law ad FSRA Rules, </w:t>
      </w:r>
      <w:proofErr w:type="gramStart"/>
      <w:r w:rsidR="00B0460C">
        <w:t>whereupon</w:t>
      </w:r>
      <w:r w:rsidRPr="00184C53">
        <w:t>,</w:t>
      </w:r>
      <w:proofErr w:type="gramEnd"/>
      <w:r w:rsidRPr="00184C53">
        <w:t xml:space="preserve"> the Fund Manager will:</w:t>
      </w:r>
    </w:p>
    <w:p w14:paraId="203E1560" w14:textId="4650CFCE" w:rsidR="00783A9D" w:rsidRPr="00E50F9E" w:rsidRDefault="00783A9D" w:rsidP="00B0460C">
      <w:pPr>
        <w:pStyle w:val="Level5Number"/>
      </w:pPr>
      <w:r w:rsidRPr="00184C53">
        <w:t xml:space="preserve">advise the </w:t>
      </w:r>
      <w:r w:rsidR="00B0460C">
        <w:t>Token Holders</w:t>
      </w:r>
      <w:r w:rsidRPr="00184C53">
        <w:t xml:space="preserve"> in writing that such determination has been made and</w:t>
      </w:r>
      <w:r>
        <w:t xml:space="preserve"> </w:t>
      </w:r>
      <w:r w:rsidRPr="00E50F9E">
        <w:t xml:space="preserve">will set out the Fund Manager’s plans for the liquidation of the assets of the Fund and distribution of the Fund assets to the </w:t>
      </w:r>
      <w:r w:rsidR="00B0460C">
        <w:t xml:space="preserve">Token </w:t>
      </w:r>
      <w:proofErr w:type="gramStart"/>
      <w:r w:rsidR="00B0460C">
        <w:t>Holders</w:t>
      </w:r>
      <w:r w:rsidRPr="00E50F9E">
        <w:t>;</w:t>
      </w:r>
      <w:proofErr w:type="gramEnd"/>
    </w:p>
    <w:p w14:paraId="4A8328B8" w14:textId="5297ED2C" w:rsidR="00783A9D" w:rsidRPr="00184C53" w:rsidRDefault="00783A9D" w:rsidP="00B0460C">
      <w:pPr>
        <w:pStyle w:val="Level5Number"/>
      </w:pPr>
      <w:r w:rsidRPr="00184C53">
        <w:t xml:space="preserve">cease to issue, sell, cancel or redeem </w:t>
      </w:r>
      <w:r w:rsidR="00B0460C">
        <w:t>Tokens</w:t>
      </w:r>
      <w:r w:rsidRPr="00184C53">
        <w:t xml:space="preserve"> or to invest for the Fund and proceed to wind up the Fund in accordance with the </w:t>
      </w:r>
      <w:r w:rsidR="00B0460C">
        <w:t>ADGM Law ad FSRA Rules</w:t>
      </w:r>
      <w:r w:rsidRPr="00184C53">
        <w:t>; and</w:t>
      </w:r>
    </w:p>
    <w:p w14:paraId="67B96A04" w14:textId="6F45FC39" w:rsidR="00783A9D" w:rsidRPr="00184C53" w:rsidRDefault="00783A9D" w:rsidP="00B0460C">
      <w:pPr>
        <w:pStyle w:val="Level5Number"/>
      </w:pPr>
      <w:r w:rsidRPr="00184C53">
        <w:t xml:space="preserve">as soon as practicable after the Fund falls to be wound up, realise the </w:t>
      </w:r>
      <w:r w:rsidR="00B0460C">
        <w:t xml:space="preserve">assets of the </w:t>
      </w:r>
      <w:r w:rsidRPr="00184C53">
        <w:t>Fund.</w:t>
      </w:r>
      <w:r>
        <w:t xml:space="preserve"> </w:t>
      </w:r>
      <w:r w:rsidRPr="00E50F9E">
        <w:rPr>
          <w:szCs w:val="24"/>
        </w:rPr>
        <w:t>Upon a winding-up of the Fund and after paying therefrom or retaining adequate provision for all liabilities properly so payable and for the costs of the winding up, the Fund Manager shall distribute the proceeds from the liquidation of the Fund</w:t>
      </w:r>
      <w:r w:rsidR="00B0460C">
        <w:rPr>
          <w:szCs w:val="24"/>
        </w:rPr>
        <w:t xml:space="preserve">'s assets </w:t>
      </w:r>
      <w:r w:rsidRPr="00E50F9E">
        <w:rPr>
          <w:szCs w:val="24"/>
        </w:rPr>
        <w:t xml:space="preserve">to the </w:t>
      </w:r>
      <w:r w:rsidR="00B0460C">
        <w:rPr>
          <w:szCs w:val="24"/>
        </w:rPr>
        <w:t>Token Holders, on a pro rata basis proportionate to their holding of Tokens</w:t>
      </w:r>
      <w:r w:rsidRPr="00184C53">
        <w:t>.</w:t>
      </w:r>
    </w:p>
    <w:p w14:paraId="2E8282E0" w14:textId="0630085C" w:rsidR="00B0460C" w:rsidRDefault="00783A9D" w:rsidP="00C54A74">
      <w:pPr>
        <w:pStyle w:val="Level4Number"/>
      </w:pPr>
      <w:r w:rsidRPr="00184C53">
        <w:t>Any unclaimed net proceeds or other cash (including unclaimed distribution payments</w:t>
      </w:r>
      <w:r w:rsidR="009118FB">
        <w:t>, if any</w:t>
      </w:r>
      <w:r w:rsidRPr="00184C53">
        <w:t xml:space="preserve">) held by the Fund Manager after the expiration of </w:t>
      </w:r>
      <w:r w:rsidR="00B0460C">
        <w:t>12</w:t>
      </w:r>
      <w:r w:rsidRPr="00184C53">
        <w:t xml:space="preserve"> months from the date on which they became payable shall be paid by the Fund Manager into court, subject to the Fund Manager having a right to retain any expenses incurred by it relating to that payment.</w:t>
      </w:r>
    </w:p>
    <w:p w14:paraId="5D5DD0CE" w14:textId="56F8E664" w:rsidR="00783A9D" w:rsidRPr="00B0460C" w:rsidRDefault="00783A9D" w:rsidP="00C54A74">
      <w:pPr>
        <w:pStyle w:val="Level4Number"/>
      </w:pPr>
      <w:r w:rsidRPr="00C54A74">
        <w:rPr>
          <w:szCs w:val="24"/>
        </w:rPr>
        <w:lastRenderedPageBreak/>
        <w:t xml:space="preserve">Upon completion of the winding up, the Fund Manager shall notify the </w:t>
      </w:r>
      <w:r w:rsidR="00B0460C" w:rsidRPr="00C54A74">
        <w:rPr>
          <w:szCs w:val="24"/>
        </w:rPr>
        <w:t>FSRA</w:t>
      </w:r>
      <w:r w:rsidRPr="00C54A74">
        <w:rPr>
          <w:szCs w:val="24"/>
        </w:rPr>
        <w:t xml:space="preserve"> in writing of that fact and at the same time the Fund Manager must require the </w:t>
      </w:r>
      <w:r w:rsidR="00B0460C" w:rsidRPr="00C54A74">
        <w:rPr>
          <w:szCs w:val="24"/>
        </w:rPr>
        <w:t>FSRA</w:t>
      </w:r>
      <w:r w:rsidRPr="00C54A74">
        <w:rPr>
          <w:szCs w:val="24"/>
        </w:rPr>
        <w:t xml:space="preserve"> to revoke the relevant registration.</w:t>
      </w:r>
    </w:p>
    <w:p w14:paraId="3E47F399" w14:textId="77777777" w:rsidR="00B0460C" w:rsidRPr="00B0460C" w:rsidRDefault="00B0460C" w:rsidP="00B0460C">
      <w:pPr>
        <w:pStyle w:val="Level5Number"/>
        <w:numPr>
          <w:ilvl w:val="0"/>
          <w:numId w:val="0"/>
        </w:numPr>
        <w:ind w:left="2160"/>
      </w:pPr>
    </w:p>
    <w:p w14:paraId="6A4801BD" w14:textId="50C6DF1F" w:rsidR="00783A9D" w:rsidRDefault="00783A9D" w:rsidP="00B0460C">
      <w:pPr>
        <w:pStyle w:val="BodyText"/>
        <w:jc w:val="center"/>
        <w:rPr>
          <w:rFonts w:cs="Calibri"/>
        </w:rPr>
      </w:pPr>
      <w:r>
        <w:rPr>
          <w:b/>
        </w:rPr>
        <w:t xml:space="preserve">THE STATEMENTS CONTAINED IN THIS PROSPECTUS CONCERNING THE ARTICLES, THE </w:t>
      </w:r>
      <w:r w:rsidR="00B0460C">
        <w:rPr>
          <w:b/>
        </w:rPr>
        <w:t>TOKENS</w:t>
      </w:r>
      <w:r>
        <w:rPr>
          <w:b/>
        </w:rPr>
        <w:t xml:space="preserve">AND RELATED MATTERS ARE ONLY A SUMMARY, DO NOT PURPORT TO BE COMPLETE, AND IN NO WAY MODIFY OR AMEND THE ARTICLES. PROSPECTIVE INVESTORS MUST CAREFULLY READ THE ARTICLES AND CONSULT WITH THEIR OWN LEGAL COUNSEL CONCERNING THEIR RIGHTS AND OBLIGATIONS BEFORE SUBSCRIBING FOR </w:t>
      </w:r>
      <w:r w:rsidR="00B0460C">
        <w:rPr>
          <w:b/>
        </w:rPr>
        <w:t>TOKENS</w:t>
      </w:r>
      <w:r>
        <w:rPr>
          <w:b/>
        </w:rPr>
        <w:t>.</w:t>
      </w:r>
    </w:p>
    <w:p w14:paraId="726F47D0" w14:textId="0B3ABEA5" w:rsidR="00783A9D" w:rsidRDefault="00783A9D">
      <w:pPr>
        <w:spacing w:line="2" w:lineRule="auto"/>
        <w:rPr>
          <w:rFonts w:ascii="Calibri" w:hAnsi="Calibri" w:cs="Calibri"/>
          <w:sz w:val="22"/>
        </w:rPr>
      </w:pPr>
      <w:r>
        <w:rPr>
          <w:rFonts w:cs="Calibri"/>
        </w:rPr>
        <w:br w:type="page"/>
      </w:r>
    </w:p>
    <w:p w14:paraId="7983E850" w14:textId="31DEBFD8" w:rsidR="00B23A6C" w:rsidRPr="004126E5" w:rsidRDefault="00B23A6C" w:rsidP="007B6A5B">
      <w:pPr>
        <w:pStyle w:val="Level1Heading"/>
      </w:pPr>
      <w:bookmarkStart w:id="23" w:name="_Toc169612962"/>
      <w:r w:rsidRPr="004126E5">
        <w:lastRenderedPageBreak/>
        <w:t>CERTAIN RISK FACTORS</w:t>
      </w:r>
      <w:bookmarkEnd w:id="23"/>
      <w:r w:rsidRPr="004126E5">
        <w:t xml:space="preserve"> </w:t>
      </w:r>
    </w:p>
    <w:p w14:paraId="66AD786A" w14:textId="0D186FAB" w:rsidR="00914954" w:rsidRDefault="00B23A6C" w:rsidP="00B23A6C">
      <w:pPr>
        <w:pStyle w:val="BodyText"/>
        <w:rPr>
          <w:rFonts w:cs="Calibri"/>
        </w:rPr>
      </w:pPr>
      <w:r w:rsidRPr="004126E5">
        <w:rPr>
          <w:rFonts w:cs="Calibri"/>
        </w:rPr>
        <w:t>Potential investors should be aware that an investment in the Fund involves a high degree of risk and is suitable only for investors who fully understand, and who can bear the risks of, such an investment for an indefinite period and who can afford a total loss of their investment. In addition, potential investors should be aware that there will be occasions when the Fund Manager and/or its Affiliates may encounter potential conflicts of interest in connection with the Fund. Potential investors should carefully evaluate the following considerations and other risks before making an investment in the Fund.</w:t>
      </w:r>
    </w:p>
    <w:p w14:paraId="6011FD75" w14:textId="0494F90E" w:rsidR="000229DC" w:rsidRPr="000229DC" w:rsidRDefault="000229DC" w:rsidP="00B23A6C">
      <w:pPr>
        <w:pStyle w:val="BodyText"/>
        <w:rPr>
          <w:rFonts w:cs="Calibri"/>
          <w:b/>
          <w:bCs/>
        </w:rPr>
      </w:pPr>
      <w:r w:rsidRPr="000229DC">
        <w:rPr>
          <w:rFonts w:cs="Calibri"/>
          <w:b/>
          <w:bCs/>
        </w:rPr>
        <w:t>General Risks</w:t>
      </w:r>
    </w:p>
    <w:p w14:paraId="758FC7FB" w14:textId="268B602C" w:rsidR="0016365A" w:rsidRPr="005942B2" w:rsidRDefault="0016365A" w:rsidP="0016365A">
      <w:pPr>
        <w:pStyle w:val="Level2Number"/>
        <w:rPr>
          <w:b/>
          <w:bCs/>
          <w:lang w:val="en-US"/>
        </w:rPr>
      </w:pPr>
      <w:r w:rsidRPr="005942B2">
        <w:rPr>
          <w:b/>
          <w:bCs/>
        </w:rPr>
        <w:t>No Guarantee</w:t>
      </w:r>
      <w:r w:rsidR="00995052">
        <w:rPr>
          <w:b/>
          <w:bCs/>
        </w:rPr>
        <w:t xml:space="preserve"> of Success</w:t>
      </w:r>
    </w:p>
    <w:p w14:paraId="27F7DE46" w14:textId="0965AD18" w:rsidR="0016365A" w:rsidRPr="005942B2" w:rsidRDefault="0016365A" w:rsidP="00995052">
      <w:pPr>
        <w:pStyle w:val="Level3Number"/>
        <w:numPr>
          <w:ilvl w:val="0"/>
          <w:numId w:val="0"/>
        </w:numPr>
        <w:ind w:left="720"/>
        <w:rPr>
          <w:lang w:val="en-US"/>
        </w:rPr>
      </w:pPr>
      <w:r w:rsidRPr="005942B2">
        <w:rPr>
          <w:lang w:val="en-US"/>
        </w:rPr>
        <w:t>There can be no guarantee that the Fund</w:t>
      </w:r>
      <w:r>
        <w:rPr>
          <w:lang w:val="en-US"/>
        </w:rPr>
        <w:t xml:space="preserve"> </w:t>
      </w:r>
      <w:r w:rsidRPr="005942B2">
        <w:rPr>
          <w:lang w:val="en-US"/>
        </w:rPr>
        <w:t xml:space="preserve">will achieve its investment objective or that investors will receive a return of their capital. There can be no guarantee that implementation of the investment objective and strategy </w:t>
      </w:r>
      <w:r w:rsidRPr="005942B2">
        <w:t>of the Fund</w:t>
      </w:r>
      <w:r>
        <w:t xml:space="preserve"> </w:t>
      </w:r>
      <w:r w:rsidRPr="005942B2">
        <w:rPr>
          <w:lang w:val="en-US"/>
        </w:rPr>
        <w:t>will not result in losses to the investors.</w:t>
      </w:r>
    </w:p>
    <w:p w14:paraId="6B16E118" w14:textId="77777777" w:rsidR="0016365A" w:rsidRPr="005942B2" w:rsidRDefault="0016365A" w:rsidP="0016365A">
      <w:pPr>
        <w:pStyle w:val="Level2Number"/>
        <w:rPr>
          <w:b/>
          <w:bCs/>
          <w:lang w:val="en-US"/>
        </w:rPr>
      </w:pPr>
      <w:r w:rsidRPr="0016365A">
        <w:rPr>
          <w:b/>
          <w:bCs/>
        </w:rPr>
        <w:t>Absence</w:t>
      </w:r>
      <w:r w:rsidRPr="005942B2">
        <w:rPr>
          <w:b/>
          <w:bCs/>
          <w:lang w:val="en-US"/>
        </w:rPr>
        <w:t xml:space="preserve"> of Operating History</w:t>
      </w:r>
    </w:p>
    <w:p w14:paraId="67C6425D" w14:textId="07F74B44" w:rsidR="0016365A" w:rsidRPr="005942B2" w:rsidRDefault="0016365A" w:rsidP="00995052">
      <w:pPr>
        <w:pStyle w:val="Level3Number"/>
        <w:numPr>
          <w:ilvl w:val="0"/>
          <w:numId w:val="0"/>
        </w:numPr>
        <w:ind w:left="720"/>
        <w:rPr>
          <w:lang w:val="en-US"/>
        </w:rPr>
      </w:pPr>
      <w:r w:rsidRPr="005942B2">
        <w:rPr>
          <w:lang w:val="en-US"/>
        </w:rPr>
        <w:t>The Fund</w:t>
      </w:r>
      <w:r>
        <w:rPr>
          <w:lang w:val="en-US"/>
        </w:rPr>
        <w:t xml:space="preserve"> </w:t>
      </w:r>
      <w:r w:rsidRPr="005942B2">
        <w:rPr>
          <w:lang w:val="en-US"/>
        </w:rPr>
        <w:t xml:space="preserve">is a newly formed entity and does not have an operating history upon which investors may base an evaluation of its likely performance. The past </w:t>
      </w:r>
      <w:r w:rsidRPr="0016365A">
        <w:t>performance</w:t>
      </w:r>
      <w:r w:rsidRPr="005942B2">
        <w:rPr>
          <w:lang w:val="en-US"/>
        </w:rPr>
        <w:t xml:space="preserve"> of </w:t>
      </w:r>
      <w:r w:rsidRPr="005942B2">
        <w:t xml:space="preserve">any professionals engaged by the Fund or the Fund Manager </w:t>
      </w:r>
      <w:r w:rsidRPr="005942B2">
        <w:rPr>
          <w:lang w:val="en-US"/>
        </w:rPr>
        <w:t>cannot be construed as an indication of the future results of an investment in the Fund.</w:t>
      </w:r>
    </w:p>
    <w:p w14:paraId="267A48A6" w14:textId="77777777" w:rsidR="0016365A" w:rsidRPr="005942B2" w:rsidRDefault="0016365A" w:rsidP="0016365A">
      <w:pPr>
        <w:pStyle w:val="Level2Number"/>
        <w:rPr>
          <w:b/>
          <w:bCs/>
        </w:rPr>
      </w:pPr>
      <w:r w:rsidRPr="005942B2">
        <w:rPr>
          <w:b/>
          <w:bCs/>
        </w:rPr>
        <w:t>Non-Voting Interests</w:t>
      </w:r>
    </w:p>
    <w:p w14:paraId="3C41C9CB" w14:textId="6CC3558D" w:rsidR="0016365A" w:rsidRPr="005942B2" w:rsidRDefault="00995052" w:rsidP="00995052">
      <w:pPr>
        <w:pStyle w:val="Level3Number"/>
        <w:numPr>
          <w:ilvl w:val="0"/>
          <w:numId w:val="0"/>
        </w:numPr>
        <w:ind w:left="720"/>
        <w:rPr>
          <w:lang w:val="en-US"/>
        </w:rPr>
      </w:pPr>
      <w:r>
        <w:t>Token Holders</w:t>
      </w:r>
      <w:r w:rsidR="0016365A" w:rsidRPr="005942B2">
        <w:t xml:space="preserve"> will have no right to vote </w:t>
      </w:r>
      <w:r w:rsidR="0016365A" w:rsidRPr="005942B2">
        <w:rPr>
          <w:lang w:val="en-US"/>
        </w:rPr>
        <w:t xml:space="preserve">(except in respect of any matters specifically reserved for the approval of the </w:t>
      </w:r>
      <w:r>
        <w:rPr>
          <w:lang w:val="en-US"/>
        </w:rPr>
        <w:t>token Holders under the</w:t>
      </w:r>
      <w:r w:rsidR="0016365A" w:rsidRPr="005942B2">
        <w:rPr>
          <w:lang w:val="en-US"/>
        </w:rPr>
        <w:t xml:space="preserve"> Articles) </w:t>
      </w:r>
      <w:r w:rsidR="0016365A" w:rsidRPr="005942B2">
        <w:t xml:space="preserve">or participate in the management of the Fund. </w:t>
      </w:r>
      <w:r w:rsidR="0016365A" w:rsidRPr="005942B2">
        <w:rPr>
          <w:lang w:val="en-US"/>
        </w:rPr>
        <w:t xml:space="preserve">Accordingly, no person should purchase any </w:t>
      </w:r>
      <w:r>
        <w:t>Tokens</w:t>
      </w:r>
      <w:r w:rsidR="0016365A" w:rsidRPr="005942B2">
        <w:rPr>
          <w:lang w:val="en-US"/>
        </w:rPr>
        <w:t xml:space="preserve"> unless he is willing to entrust all aspects of management of the Fund to the Fund Manager.  </w:t>
      </w:r>
    </w:p>
    <w:p w14:paraId="42E74125" w14:textId="77777777" w:rsidR="0016365A" w:rsidRPr="005942B2" w:rsidRDefault="0016365A" w:rsidP="0016365A">
      <w:pPr>
        <w:pStyle w:val="Level2Number"/>
        <w:rPr>
          <w:b/>
          <w:bCs/>
        </w:rPr>
      </w:pPr>
      <w:r w:rsidRPr="005942B2">
        <w:rPr>
          <w:b/>
          <w:bCs/>
        </w:rPr>
        <w:t>Distributions in Kind</w:t>
      </w:r>
    </w:p>
    <w:p w14:paraId="3CBAFE76" w14:textId="68F1ECB1" w:rsidR="0016365A" w:rsidRPr="005942B2" w:rsidRDefault="0016365A" w:rsidP="0016365A">
      <w:pPr>
        <w:pStyle w:val="Level3Number"/>
      </w:pPr>
      <w:r w:rsidRPr="005942B2">
        <w:t>Although under normal circumstances, the Fund</w:t>
      </w:r>
      <w:r>
        <w:t xml:space="preserve"> </w:t>
      </w:r>
      <w:r w:rsidRPr="005942B2">
        <w:t>intends to make distributions</w:t>
      </w:r>
      <w:r w:rsidR="009118FB">
        <w:t>, if any,</w:t>
      </w:r>
      <w:r w:rsidRPr="005942B2">
        <w:t xml:space="preserve"> in cash, it is possible that under certain circumstances (including the termination of the Fund or where investments are or become illiquid) distributions may be made in kind and could consist of securities or other investments for which there is no readily available public market.</w:t>
      </w:r>
    </w:p>
    <w:p w14:paraId="6CC0BC6C" w14:textId="77777777" w:rsidR="0016365A" w:rsidRPr="005942B2" w:rsidRDefault="0016365A" w:rsidP="0016365A">
      <w:pPr>
        <w:pStyle w:val="Level2Number"/>
        <w:rPr>
          <w:b/>
          <w:bCs/>
        </w:rPr>
      </w:pPr>
      <w:r w:rsidRPr="005942B2">
        <w:rPr>
          <w:b/>
          <w:bCs/>
        </w:rPr>
        <w:t>Illiquid Assets</w:t>
      </w:r>
    </w:p>
    <w:p w14:paraId="390966FB" w14:textId="14AC8C3E" w:rsidR="0016365A" w:rsidRPr="005942B2" w:rsidRDefault="0016365A" w:rsidP="00995052">
      <w:pPr>
        <w:pStyle w:val="Level3Number"/>
        <w:numPr>
          <w:ilvl w:val="0"/>
          <w:numId w:val="0"/>
        </w:numPr>
        <w:ind w:left="720"/>
      </w:pPr>
      <w:r w:rsidRPr="005942B2">
        <w:t>The Fund</w:t>
      </w:r>
      <w:r>
        <w:t xml:space="preserve"> </w:t>
      </w:r>
      <w:r w:rsidRPr="005942B2">
        <w:t>may invest in illiquid assets and there can be no assurance that the Fund</w:t>
      </w:r>
      <w:r>
        <w:t xml:space="preserve"> </w:t>
      </w:r>
      <w:r w:rsidRPr="005942B2">
        <w:t>be able to realize positive returns on such investments in a timely manner, if at all. The investments, which are not traded on any organized exchange and for which no liquid market exists, may not be able to be sold or otherwise disposed of or, if sold, may not be able to be disposed of at a price perceived by the Fund</w:t>
      </w:r>
      <w:r>
        <w:t xml:space="preserve"> </w:t>
      </w:r>
      <w:r w:rsidRPr="005942B2">
        <w:t xml:space="preserve">to represent fair value or in the timeframe desired by the Fund or may result in distributions in kind to the </w:t>
      </w:r>
      <w:r>
        <w:t>Token Holders</w:t>
      </w:r>
      <w:r w:rsidRPr="005942B2">
        <w:t>. If the Fund</w:t>
      </w:r>
      <w:r>
        <w:t xml:space="preserve"> </w:t>
      </w:r>
      <w:r w:rsidRPr="005942B2">
        <w:t>attempts to sell or otherwise dispose of any such investment, such transaction may require additional time and other selling expenses than the sale of marketable securities and may be subject to contractual or other selling restrictions that further adversely affect sales price. Accordingly, the Fund</w:t>
      </w:r>
      <w:r>
        <w:t xml:space="preserve"> </w:t>
      </w:r>
      <w:r w:rsidRPr="005942B2">
        <w:t>may never realize any return on such investments.</w:t>
      </w:r>
    </w:p>
    <w:p w14:paraId="501DD0F9" w14:textId="77777777" w:rsidR="0016365A" w:rsidRPr="005942B2" w:rsidRDefault="0016365A" w:rsidP="0016365A">
      <w:pPr>
        <w:pStyle w:val="Level2Number"/>
        <w:rPr>
          <w:b/>
          <w:bCs/>
        </w:rPr>
      </w:pPr>
      <w:r w:rsidRPr="005942B2">
        <w:rPr>
          <w:b/>
          <w:bCs/>
        </w:rPr>
        <w:t>Financing</w:t>
      </w:r>
    </w:p>
    <w:p w14:paraId="22E6B1D5" w14:textId="0F09AC97" w:rsidR="0016365A" w:rsidRPr="005942B2" w:rsidRDefault="0016365A" w:rsidP="00995052">
      <w:pPr>
        <w:pStyle w:val="Level3Number"/>
        <w:numPr>
          <w:ilvl w:val="0"/>
          <w:numId w:val="0"/>
        </w:numPr>
        <w:ind w:left="720"/>
      </w:pPr>
      <w:r w:rsidRPr="005942B2">
        <w:t>The Fund</w:t>
      </w:r>
      <w:r>
        <w:t xml:space="preserve"> </w:t>
      </w:r>
      <w:r w:rsidR="007268C7">
        <w:t>shall not</w:t>
      </w:r>
      <w:r w:rsidRPr="005942B2">
        <w:t xml:space="preserve"> use leverage.</w:t>
      </w:r>
    </w:p>
    <w:p w14:paraId="622630E6" w14:textId="77777777" w:rsidR="0016365A" w:rsidRPr="005942B2" w:rsidRDefault="0016365A" w:rsidP="0016365A">
      <w:pPr>
        <w:pStyle w:val="Level2Number"/>
        <w:rPr>
          <w:b/>
          <w:bCs/>
        </w:rPr>
      </w:pPr>
      <w:r w:rsidRPr="005942B2">
        <w:rPr>
          <w:b/>
          <w:bCs/>
        </w:rPr>
        <w:lastRenderedPageBreak/>
        <w:t>Limited Diversification</w:t>
      </w:r>
    </w:p>
    <w:p w14:paraId="6E2ED82B" w14:textId="35D165B5" w:rsidR="0016365A" w:rsidRPr="005942B2" w:rsidRDefault="0016365A" w:rsidP="00995052">
      <w:pPr>
        <w:pStyle w:val="Level3Number"/>
        <w:numPr>
          <w:ilvl w:val="0"/>
          <w:numId w:val="0"/>
        </w:numPr>
        <w:ind w:left="720"/>
      </w:pPr>
      <w:r w:rsidRPr="005942B2">
        <w:t>If the Fund’s investment portfolio is concentrated in a small number of investments, the portfolio may be subject to a greater level of volatility. Also, the use of a single Fund Manager applying generally similar trading programs could mean lack of diversification and, consequentially, higher risk.</w:t>
      </w:r>
    </w:p>
    <w:p w14:paraId="1627EA0D" w14:textId="77777777" w:rsidR="0016365A" w:rsidRPr="005942B2" w:rsidRDefault="0016365A" w:rsidP="0016365A">
      <w:pPr>
        <w:pStyle w:val="Level2Number"/>
        <w:rPr>
          <w:b/>
          <w:bCs/>
        </w:rPr>
      </w:pPr>
      <w:r w:rsidRPr="005942B2">
        <w:rPr>
          <w:b/>
          <w:bCs/>
        </w:rPr>
        <w:t xml:space="preserve">Reliance on Fund Manager </w:t>
      </w:r>
    </w:p>
    <w:p w14:paraId="144AB517" w14:textId="5E05C57E" w:rsidR="0016365A" w:rsidRPr="005942B2" w:rsidRDefault="0016365A" w:rsidP="00995052">
      <w:pPr>
        <w:pStyle w:val="Level3Number"/>
        <w:numPr>
          <w:ilvl w:val="0"/>
          <w:numId w:val="0"/>
        </w:numPr>
        <w:ind w:left="720"/>
      </w:pPr>
      <w:r w:rsidRPr="005942B2">
        <w:t xml:space="preserve">Although the Directors have the ultimate authority and responsibility for the management of the Fund, all decisions relating to the investment of the Fund’s assets has been delegated to, and will be made by, the Fund Manager, who will therefore have total trading authority over the Fund. The Fund’s expertise in trading is therefore largely dependent on the continuation of an agreement with the Fund Manager and the services and skills of </w:t>
      </w:r>
      <w:r w:rsidR="00346503">
        <w:t>its</w:t>
      </w:r>
      <w:r w:rsidRPr="005942B2">
        <w:t xml:space="preserve"> officers and employees. The loss of the Fund Manager’s services (or that of one of their key personnel) could materially and negatively impact the value of the Fund as it may lead to the loss of the use of any proprietary investment methodology developed by the Fund Manager. </w:t>
      </w:r>
    </w:p>
    <w:p w14:paraId="575BC709" w14:textId="3533B44A" w:rsidR="00995052" w:rsidRPr="00995052" w:rsidRDefault="00995052" w:rsidP="00995052">
      <w:pPr>
        <w:pStyle w:val="Level2Number"/>
        <w:rPr>
          <w:rFonts w:cs="Calibri"/>
          <w:b/>
          <w:bCs/>
        </w:rPr>
      </w:pPr>
      <w:r w:rsidRPr="00995052">
        <w:rPr>
          <w:rFonts w:cs="Calibri"/>
          <w:b/>
          <w:bCs/>
        </w:rPr>
        <w:t xml:space="preserve">Liquidity </w:t>
      </w:r>
      <w:r w:rsidR="00BC6920">
        <w:rPr>
          <w:rFonts w:cs="Calibri"/>
          <w:b/>
          <w:bCs/>
        </w:rPr>
        <w:t>R</w:t>
      </w:r>
      <w:r w:rsidRPr="00995052">
        <w:rPr>
          <w:rFonts w:cs="Calibri"/>
          <w:b/>
          <w:bCs/>
        </w:rPr>
        <w:t>isk</w:t>
      </w:r>
    </w:p>
    <w:p w14:paraId="199BD565" w14:textId="2E033F55" w:rsidR="00995052" w:rsidRDefault="00995052" w:rsidP="00995052">
      <w:pPr>
        <w:pStyle w:val="Level3Number"/>
        <w:numPr>
          <w:ilvl w:val="0"/>
          <w:numId w:val="0"/>
        </w:numPr>
        <w:ind w:left="720"/>
        <w:rPr>
          <w:rFonts w:cs="Calibri"/>
        </w:rPr>
      </w:pPr>
      <w:r w:rsidRPr="00995052">
        <w:rPr>
          <w:rFonts w:cs="Calibri"/>
        </w:rPr>
        <w:t xml:space="preserve">The </w:t>
      </w:r>
      <w:r>
        <w:rPr>
          <w:rFonts w:cs="Calibri"/>
        </w:rPr>
        <w:t>Fund</w:t>
      </w:r>
      <w:r w:rsidRPr="00995052">
        <w:rPr>
          <w:rFonts w:cs="Calibri"/>
        </w:rPr>
        <w:t xml:space="preserve"> may not have sufficient funds for making payments at any point in time, meaning that the </w:t>
      </w:r>
      <w:r>
        <w:rPr>
          <w:rFonts w:cs="Calibri"/>
        </w:rPr>
        <w:t>Fund</w:t>
      </w:r>
      <w:r w:rsidRPr="00995052">
        <w:rPr>
          <w:rFonts w:cs="Calibri"/>
        </w:rPr>
        <w:t xml:space="preserve"> may have difficulties meeting financial obligations. In the event of insufficient liquid funds, </w:t>
      </w:r>
      <w:proofErr w:type="gramStart"/>
      <w:r w:rsidRPr="00995052">
        <w:rPr>
          <w:rFonts w:cs="Calibri"/>
        </w:rPr>
        <w:t>in particular due</w:t>
      </w:r>
      <w:proofErr w:type="gramEnd"/>
      <w:r w:rsidRPr="00995052">
        <w:rPr>
          <w:rFonts w:cs="Calibri"/>
        </w:rPr>
        <w:t xml:space="preserve"> to the inability to liquidate </w:t>
      </w:r>
      <w:r>
        <w:rPr>
          <w:rFonts w:cs="Calibri"/>
        </w:rPr>
        <w:t>investments</w:t>
      </w:r>
      <w:r w:rsidRPr="00995052">
        <w:rPr>
          <w:rFonts w:cs="Calibri"/>
        </w:rPr>
        <w:t xml:space="preserve">, there is a risk that the </w:t>
      </w:r>
      <w:r>
        <w:rPr>
          <w:rFonts w:cs="Calibri"/>
        </w:rPr>
        <w:t>Fund</w:t>
      </w:r>
      <w:r w:rsidRPr="00995052">
        <w:rPr>
          <w:rFonts w:cs="Calibri"/>
        </w:rPr>
        <w:t xml:space="preserve"> will not be able to, fully or partially, fulfil its payment obligations on</w:t>
      </w:r>
      <w:r w:rsidRPr="00995052">
        <w:rPr>
          <w:rFonts w:cs="Calibri"/>
          <w:lang w:val="en-US"/>
        </w:rPr>
        <w:t xml:space="preserve"> </w:t>
      </w:r>
      <w:r w:rsidRPr="00995052">
        <w:rPr>
          <w:rFonts w:cs="Calibri"/>
        </w:rPr>
        <w:t>time or at all</w:t>
      </w:r>
      <w:r>
        <w:rPr>
          <w:rFonts w:cs="Calibri"/>
        </w:rPr>
        <w:t>.</w:t>
      </w:r>
    </w:p>
    <w:p w14:paraId="032422C5" w14:textId="1B9839C0" w:rsidR="00BC6920" w:rsidRPr="005942B2" w:rsidRDefault="00BC6920" w:rsidP="00BC6920">
      <w:pPr>
        <w:pStyle w:val="Level2Number"/>
        <w:rPr>
          <w:b/>
          <w:bCs/>
        </w:rPr>
      </w:pPr>
      <w:r>
        <w:rPr>
          <w:b/>
          <w:bCs/>
        </w:rPr>
        <w:t>No Rating</w:t>
      </w:r>
      <w:r w:rsidRPr="005942B2">
        <w:rPr>
          <w:b/>
          <w:bCs/>
        </w:rPr>
        <w:t xml:space="preserve"> </w:t>
      </w:r>
    </w:p>
    <w:p w14:paraId="71EF4482" w14:textId="66DF2EBC" w:rsidR="00BC6920" w:rsidRPr="00BC6920" w:rsidRDefault="00BC6920" w:rsidP="00BC6920">
      <w:pPr>
        <w:pStyle w:val="Level3Number"/>
        <w:numPr>
          <w:ilvl w:val="0"/>
          <w:numId w:val="0"/>
        </w:numPr>
        <w:ind w:left="720"/>
      </w:pPr>
      <w:r>
        <w:t xml:space="preserve">The Fund is subject to the risk of no credit rating for the Tokens. A non-rated issuer of products has less confidence of investors in the Fund and could, </w:t>
      </w:r>
      <w:proofErr w:type="gramStart"/>
      <w:r>
        <w:t>in particular reduce</w:t>
      </w:r>
      <w:proofErr w:type="gramEnd"/>
      <w:r>
        <w:t xml:space="preserve"> its access to capital markets, materially increase the refinancing costs and decrease the number of investors and counterparties that are willing or permitted to do business with the </w:t>
      </w:r>
      <w:r w:rsidR="0074460B">
        <w:t>Fund</w:t>
      </w:r>
      <w:r>
        <w:t>. Therefore, non-rated products could have a material adverse effect on the Fund's profitability and results of operations.</w:t>
      </w:r>
    </w:p>
    <w:p w14:paraId="4C593F79" w14:textId="77777777" w:rsidR="0016365A" w:rsidRPr="00995052" w:rsidRDefault="0016365A" w:rsidP="0016365A">
      <w:pPr>
        <w:pStyle w:val="Level2Number"/>
        <w:rPr>
          <w:rFonts w:cs="Calibri"/>
          <w:b/>
          <w:bCs/>
        </w:rPr>
      </w:pPr>
      <w:r w:rsidRPr="00995052">
        <w:rPr>
          <w:rFonts w:cs="Calibri"/>
          <w:b/>
          <w:bCs/>
        </w:rPr>
        <w:t>Counterparty Default</w:t>
      </w:r>
    </w:p>
    <w:p w14:paraId="40F4DDC9" w14:textId="35EFFA72" w:rsidR="00995052" w:rsidRDefault="00995052" w:rsidP="00995052">
      <w:pPr>
        <w:pStyle w:val="Level3Number"/>
        <w:rPr>
          <w:rFonts w:cs="Calibri"/>
        </w:rPr>
      </w:pPr>
      <w:r w:rsidRPr="00995052">
        <w:rPr>
          <w:rFonts w:cs="Calibri"/>
        </w:rPr>
        <w:t xml:space="preserve">The </w:t>
      </w:r>
      <w:r>
        <w:rPr>
          <w:rFonts w:cs="Calibri"/>
        </w:rPr>
        <w:t>Fund</w:t>
      </w:r>
      <w:r w:rsidRPr="00995052">
        <w:rPr>
          <w:rFonts w:cs="Calibri"/>
        </w:rPr>
        <w:t xml:space="preserve"> is exposed to the credit risk of </w:t>
      </w:r>
      <w:proofErr w:type="gramStart"/>
      <w:r w:rsidRPr="00995052">
        <w:rPr>
          <w:rFonts w:cs="Calibri"/>
        </w:rPr>
        <w:t>a number of</w:t>
      </w:r>
      <w:proofErr w:type="gramEnd"/>
      <w:r w:rsidRPr="00995052">
        <w:rPr>
          <w:rFonts w:cs="Calibri"/>
        </w:rPr>
        <w:t xml:space="preserve"> counterparties with whom the </w:t>
      </w:r>
      <w:r w:rsidR="00BC6920">
        <w:rPr>
          <w:rFonts w:cs="Calibri"/>
        </w:rPr>
        <w:t>Fund</w:t>
      </w:r>
      <w:r>
        <w:rPr>
          <w:rFonts w:cs="Calibri"/>
        </w:rPr>
        <w:t xml:space="preserve"> </w:t>
      </w:r>
      <w:r w:rsidRPr="00995052">
        <w:rPr>
          <w:rFonts w:cs="Calibri"/>
        </w:rPr>
        <w:t>transacts, including, but not limited to</w:t>
      </w:r>
      <w:r>
        <w:rPr>
          <w:rFonts w:cs="Calibri"/>
        </w:rPr>
        <w:t>:</w:t>
      </w:r>
    </w:p>
    <w:p w14:paraId="24EF81DD" w14:textId="77777777" w:rsidR="00995052" w:rsidRDefault="00995052" w:rsidP="00995052">
      <w:pPr>
        <w:pStyle w:val="Level4Number"/>
        <w:rPr>
          <w:rFonts w:cs="Calibri"/>
        </w:rPr>
      </w:pPr>
      <w:r w:rsidRPr="00995052">
        <w:rPr>
          <w:rFonts w:cs="Calibri"/>
        </w:rPr>
        <w:t xml:space="preserve">any person administering the accounts to which the </w:t>
      </w:r>
      <w:r>
        <w:rPr>
          <w:rFonts w:cs="Calibri"/>
        </w:rPr>
        <w:t>Tokens</w:t>
      </w:r>
      <w:r w:rsidRPr="00995052">
        <w:rPr>
          <w:rFonts w:cs="Calibri"/>
        </w:rPr>
        <w:t xml:space="preserve"> </w:t>
      </w:r>
      <w:r>
        <w:rPr>
          <w:rFonts w:cs="Calibri"/>
        </w:rPr>
        <w:t>investments</w:t>
      </w:r>
      <w:r w:rsidRPr="00995052">
        <w:rPr>
          <w:rFonts w:cs="Calibri"/>
        </w:rPr>
        <w:t xml:space="preserve"> are </w:t>
      </w:r>
      <w:proofErr w:type="gramStart"/>
      <w:r w:rsidRPr="00995052">
        <w:rPr>
          <w:rFonts w:cs="Calibri"/>
        </w:rPr>
        <w:t>credit</w:t>
      </w:r>
      <w:r>
        <w:rPr>
          <w:rFonts w:cs="Calibri"/>
        </w:rPr>
        <w:t>ed</w:t>
      </w:r>
      <w:r w:rsidRPr="00995052">
        <w:rPr>
          <w:rFonts w:cs="Calibri"/>
        </w:rPr>
        <w:t>;</w:t>
      </w:r>
      <w:proofErr w:type="gramEnd"/>
    </w:p>
    <w:p w14:paraId="450B8602" w14:textId="77777777" w:rsidR="00BC6920" w:rsidRDefault="00995052" w:rsidP="00BC6920">
      <w:pPr>
        <w:pStyle w:val="Level4Number"/>
        <w:rPr>
          <w:rFonts w:cs="Calibri"/>
        </w:rPr>
      </w:pPr>
      <w:r w:rsidRPr="00995052">
        <w:rPr>
          <w:rFonts w:cs="Calibri"/>
        </w:rPr>
        <w:t xml:space="preserve">any person that administers the accounts to which the </w:t>
      </w:r>
      <w:r>
        <w:rPr>
          <w:rFonts w:cs="Calibri"/>
        </w:rPr>
        <w:t>investments</w:t>
      </w:r>
      <w:r w:rsidR="00BC6920">
        <w:rPr>
          <w:rFonts w:cs="Calibri"/>
        </w:rPr>
        <w:t xml:space="preserve"> are </w:t>
      </w:r>
      <w:proofErr w:type="gramStart"/>
      <w:r w:rsidR="00BC6920">
        <w:rPr>
          <w:rFonts w:cs="Calibri"/>
        </w:rPr>
        <w:t>credited;</w:t>
      </w:r>
      <w:proofErr w:type="gramEnd"/>
    </w:p>
    <w:p w14:paraId="52343B03" w14:textId="77777777" w:rsidR="00BC6920" w:rsidRDefault="00995052" w:rsidP="00BC6920">
      <w:pPr>
        <w:pStyle w:val="Level4Number"/>
        <w:rPr>
          <w:rFonts w:cs="Calibri"/>
        </w:rPr>
      </w:pPr>
      <w:r w:rsidRPr="00BC6920">
        <w:rPr>
          <w:rFonts w:cs="Calibri"/>
        </w:rPr>
        <w:t xml:space="preserve">any person accepting or dispatching payments on behalf of the </w:t>
      </w:r>
      <w:r w:rsidR="00BC6920">
        <w:rPr>
          <w:rFonts w:cs="Calibri"/>
        </w:rPr>
        <w:t>Fund</w:t>
      </w:r>
      <w:r w:rsidRPr="00BC6920">
        <w:rPr>
          <w:rFonts w:cs="Calibri"/>
        </w:rPr>
        <w:t xml:space="preserve"> of the </w:t>
      </w:r>
      <w:r w:rsidR="00BC6920">
        <w:rPr>
          <w:rFonts w:cs="Calibri"/>
        </w:rPr>
        <w:t>investments</w:t>
      </w:r>
      <w:r w:rsidRPr="00BC6920">
        <w:rPr>
          <w:rFonts w:cs="Calibri"/>
        </w:rPr>
        <w:t xml:space="preserve"> and by</w:t>
      </w:r>
      <w:r w:rsidR="00BC6920">
        <w:rPr>
          <w:rFonts w:cs="Calibri"/>
        </w:rPr>
        <w:t xml:space="preserve"> </w:t>
      </w:r>
      <w:r w:rsidRPr="00BC6920">
        <w:rPr>
          <w:rFonts w:cs="Calibri"/>
        </w:rPr>
        <w:t xml:space="preserve">accepting or distributing the funds from/to the </w:t>
      </w:r>
      <w:proofErr w:type="gramStart"/>
      <w:r w:rsidRPr="00BC6920">
        <w:rPr>
          <w:rFonts w:cs="Calibri"/>
        </w:rPr>
        <w:t>investors;</w:t>
      </w:r>
      <w:proofErr w:type="gramEnd"/>
    </w:p>
    <w:p w14:paraId="69D53982" w14:textId="3086BFFC" w:rsidR="00BC6920" w:rsidRDefault="00995052" w:rsidP="00BC6920">
      <w:pPr>
        <w:pStyle w:val="Level4Number"/>
        <w:rPr>
          <w:rFonts w:cs="Calibri"/>
        </w:rPr>
      </w:pPr>
      <w:r w:rsidRPr="00BC6920">
        <w:rPr>
          <w:rFonts w:cs="Calibri"/>
        </w:rPr>
        <w:t>regulated securities broker</w:t>
      </w:r>
      <w:r w:rsidR="00BC6920">
        <w:rPr>
          <w:rFonts w:cs="Calibri"/>
        </w:rPr>
        <w:t>s</w:t>
      </w:r>
      <w:r w:rsidRPr="00BC6920">
        <w:rPr>
          <w:rFonts w:cs="Calibri"/>
        </w:rPr>
        <w:t xml:space="preserve"> regarding brokerage services in connection with buying/selling</w:t>
      </w:r>
      <w:r w:rsidR="00BC6920">
        <w:rPr>
          <w:rFonts w:cs="Calibri"/>
        </w:rPr>
        <w:t xml:space="preserve"> of the investments;</w:t>
      </w:r>
      <w:r w:rsidR="0074460B">
        <w:rPr>
          <w:rFonts w:cs="Calibri"/>
        </w:rPr>
        <w:t xml:space="preserve"> and</w:t>
      </w:r>
    </w:p>
    <w:p w14:paraId="3A35F73B" w14:textId="73861C10" w:rsidR="00BC6920" w:rsidRDefault="00995052" w:rsidP="00BC6920">
      <w:pPr>
        <w:pStyle w:val="Level4Number"/>
        <w:rPr>
          <w:rFonts w:cs="Calibri"/>
        </w:rPr>
      </w:pPr>
      <w:r w:rsidRPr="00BC6920">
        <w:rPr>
          <w:rFonts w:cs="Calibri"/>
        </w:rPr>
        <w:t>any person/legal entity providing tokenization services, i.e. creating the ledger-based</w:t>
      </w:r>
      <w:r w:rsidR="00BC6920">
        <w:rPr>
          <w:rFonts w:cs="Calibri"/>
        </w:rPr>
        <w:t xml:space="preserve"> </w:t>
      </w:r>
      <w:r w:rsidRPr="00BC6920">
        <w:rPr>
          <w:rFonts w:cs="Calibri"/>
        </w:rPr>
        <w:t xml:space="preserve">securities for the </w:t>
      </w:r>
      <w:r w:rsidR="00BC6920">
        <w:rPr>
          <w:rFonts w:cs="Calibri"/>
        </w:rPr>
        <w:t>Tokens</w:t>
      </w:r>
      <w:r w:rsidRPr="00BC6920">
        <w:rPr>
          <w:rFonts w:cs="Calibri"/>
        </w:rPr>
        <w:t xml:space="preserve">, activating them and handling the issuance </w:t>
      </w:r>
      <w:r w:rsidR="00BC6920">
        <w:rPr>
          <w:rFonts w:cs="Calibri"/>
        </w:rPr>
        <w:t xml:space="preserve">(minting) </w:t>
      </w:r>
      <w:r w:rsidRPr="00BC6920">
        <w:rPr>
          <w:rFonts w:cs="Calibri"/>
        </w:rPr>
        <w:t>and redemption</w:t>
      </w:r>
      <w:r w:rsidR="00BC6920">
        <w:rPr>
          <w:rFonts w:cs="Calibri"/>
        </w:rPr>
        <w:t xml:space="preserve"> (burning) </w:t>
      </w:r>
      <w:r w:rsidRPr="00BC6920">
        <w:rPr>
          <w:rFonts w:cs="Calibri"/>
        </w:rPr>
        <w:t xml:space="preserve">transactions on behalf of the </w:t>
      </w:r>
      <w:r w:rsidR="0074460B">
        <w:rPr>
          <w:rFonts w:cs="Calibri"/>
        </w:rPr>
        <w:t>Fund.</w:t>
      </w:r>
    </w:p>
    <w:p w14:paraId="16E4D8CE" w14:textId="1FE7F75A" w:rsidR="0016365A" w:rsidRPr="00995052" w:rsidRDefault="00995052" w:rsidP="00BC6920">
      <w:pPr>
        <w:pStyle w:val="Level4Number"/>
        <w:numPr>
          <w:ilvl w:val="0"/>
          <w:numId w:val="0"/>
        </w:numPr>
        <w:ind w:left="720"/>
        <w:rPr>
          <w:rFonts w:cs="Calibri"/>
        </w:rPr>
      </w:pPr>
      <w:r w:rsidRPr="00BC6920">
        <w:rPr>
          <w:rFonts w:cs="Calibri"/>
        </w:rPr>
        <w:t xml:space="preserve">Therefore, the </w:t>
      </w:r>
      <w:r w:rsidR="00BC6920">
        <w:rPr>
          <w:rFonts w:cs="Calibri"/>
        </w:rPr>
        <w:t>Fund</w:t>
      </w:r>
      <w:r w:rsidRPr="00BC6920">
        <w:rPr>
          <w:rFonts w:cs="Calibri"/>
        </w:rPr>
        <w:t xml:space="preserve"> is exposed to the risks of such parties, including, but not limited to, liquidity</w:t>
      </w:r>
      <w:r w:rsidR="00BC6920">
        <w:rPr>
          <w:rFonts w:cs="Calibri"/>
        </w:rPr>
        <w:t xml:space="preserve"> </w:t>
      </w:r>
      <w:r w:rsidRPr="00995052">
        <w:rPr>
          <w:rFonts w:cs="Calibri"/>
        </w:rPr>
        <w:t xml:space="preserve">risk, reputational risk and settlement risk, arising from the failure of any of its </w:t>
      </w:r>
      <w:r w:rsidRPr="00995052">
        <w:rPr>
          <w:rFonts w:cs="Calibri"/>
        </w:rPr>
        <w:lastRenderedPageBreak/>
        <w:t>counterparties to fulfil</w:t>
      </w:r>
      <w:r w:rsidR="00BC6920">
        <w:rPr>
          <w:rFonts w:cs="Calibri"/>
        </w:rPr>
        <w:t xml:space="preserve"> </w:t>
      </w:r>
      <w:r w:rsidRPr="00995052">
        <w:rPr>
          <w:rFonts w:cs="Calibri"/>
        </w:rPr>
        <w:t>their respective obligations. If any such risk occurs, it may have material detrimental effects on the</w:t>
      </w:r>
      <w:r w:rsidR="00BC6920">
        <w:rPr>
          <w:rFonts w:cs="Calibri"/>
        </w:rPr>
        <w:t xml:space="preserve"> Fund's</w:t>
      </w:r>
      <w:r w:rsidRPr="00995052">
        <w:rPr>
          <w:rFonts w:cs="Calibri"/>
        </w:rPr>
        <w:t xml:space="preserve"> business and financial position</w:t>
      </w:r>
      <w:r w:rsidR="0016365A" w:rsidRPr="00995052">
        <w:rPr>
          <w:rFonts w:cs="Calibri"/>
        </w:rPr>
        <w:t>.</w:t>
      </w:r>
    </w:p>
    <w:p w14:paraId="13ABD6D3" w14:textId="77777777" w:rsidR="000229DC" w:rsidRDefault="0016365A" w:rsidP="000229DC">
      <w:pPr>
        <w:pStyle w:val="Level2Number"/>
        <w:rPr>
          <w:rFonts w:cs="Calibri"/>
          <w:b/>
          <w:bCs/>
        </w:rPr>
      </w:pPr>
      <w:r w:rsidRPr="00995052">
        <w:rPr>
          <w:rFonts w:cs="Calibri"/>
          <w:b/>
          <w:bCs/>
        </w:rPr>
        <w:t>Restrictions on Transfers and Redemptions</w:t>
      </w:r>
    </w:p>
    <w:p w14:paraId="7B86A7F9" w14:textId="77777777" w:rsidR="000229DC" w:rsidRPr="000229DC" w:rsidRDefault="0016365A" w:rsidP="000229DC">
      <w:pPr>
        <w:pStyle w:val="Level3Number"/>
        <w:rPr>
          <w:rFonts w:cs="Calibri"/>
          <w:b/>
          <w:bCs/>
        </w:rPr>
      </w:pPr>
      <w:r w:rsidRPr="000229DC">
        <w:rPr>
          <w:rFonts w:cs="Calibri"/>
        </w:rPr>
        <w:t xml:space="preserve">There is currently no public market for the </w:t>
      </w:r>
      <w:proofErr w:type="gramStart"/>
      <w:r w:rsidR="00346503" w:rsidRPr="000229DC">
        <w:rPr>
          <w:rFonts w:cs="Calibri"/>
        </w:rPr>
        <w:t>Tokens</w:t>
      </w:r>
      <w:proofErr w:type="gramEnd"/>
      <w:r w:rsidRPr="000229DC">
        <w:rPr>
          <w:rFonts w:cs="Calibri"/>
        </w:rPr>
        <w:t xml:space="preserve"> and it is unlikely that any active secondary market for any of the </w:t>
      </w:r>
      <w:r w:rsidR="00346503" w:rsidRPr="000229DC">
        <w:rPr>
          <w:rFonts w:cs="Calibri"/>
        </w:rPr>
        <w:t>Tokens</w:t>
      </w:r>
      <w:r w:rsidRPr="000229DC">
        <w:rPr>
          <w:rFonts w:cs="Calibri"/>
        </w:rPr>
        <w:t xml:space="preserve"> will develop.  The </w:t>
      </w:r>
      <w:r w:rsidR="00346503" w:rsidRPr="000229DC">
        <w:rPr>
          <w:rFonts w:cs="Calibri"/>
        </w:rPr>
        <w:t>Token Holders</w:t>
      </w:r>
      <w:r w:rsidRPr="000229DC">
        <w:rPr>
          <w:rFonts w:cs="Calibri"/>
        </w:rPr>
        <w:t xml:space="preserve"> might be able to dispose of their </w:t>
      </w:r>
      <w:r w:rsidR="00346503" w:rsidRPr="000229DC">
        <w:rPr>
          <w:rFonts w:cs="Calibri"/>
        </w:rPr>
        <w:t>Tokens</w:t>
      </w:r>
      <w:r w:rsidRPr="000229DC">
        <w:rPr>
          <w:rFonts w:cs="Calibri"/>
        </w:rPr>
        <w:t xml:space="preserve"> only by means of redemptions on the relevant Redemption Day at the Redemption Price, in the absence of an active secondary</w:t>
      </w:r>
      <w:r w:rsidRPr="005942B2">
        <w:t xml:space="preserve"> market.   The risk of any decline in the Net Asset Value </w:t>
      </w:r>
      <w:r w:rsidR="00346503">
        <w:t xml:space="preserve">of the Tokens </w:t>
      </w:r>
      <w:r w:rsidRPr="005942B2">
        <w:t xml:space="preserve">during the period from the date of notice of redemption until the Redemption Day will be borne by the </w:t>
      </w:r>
      <w:r w:rsidR="00346503">
        <w:t>Token Holder(s)</w:t>
      </w:r>
      <w:r w:rsidRPr="005942B2">
        <w:t xml:space="preserve"> requesting redemption. In addition, the Directors have the power to suspend and limit redemptions and the payment of redemption proceeds. There are also restrictions on transferring </w:t>
      </w:r>
      <w:r w:rsidR="00346503">
        <w:t>Tokens</w:t>
      </w:r>
      <w:r w:rsidRPr="005942B2">
        <w:t xml:space="preserve">. The Fund has the right to compulsorily redeem </w:t>
      </w:r>
      <w:r w:rsidR="00346503">
        <w:t>Tokens</w:t>
      </w:r>
      <w:r w:rsidRPr="005942B2">
        <w:t>.</w:t>
      </w:r>
      <w:r w:rsidR="000229DC" w:rsidRPr="000229DC">
        <w:rPr>
          <w:rFonts w:cs="Calibri"/>
          <w:lang w:val="en-US"/>
        </w:rPr>
        <w:t xml:space="preserve"> </w:t>
      </w:r>
    </w:p>
    <w:p w14:paraId="0836FFCC" w14:textId="47CC1677" w:rsidR="0016365A" w:rsidRPr="000229DC" w:rsidRDefault="000229DC" w:rsidP="000229DC">
      <w:pPr>
        <w:pStyle w:val="Level3Number"/>
        <w:rPr>
          <w:rFonts w:cs="Calibri"/>
          <w:b/>
          <w:bCs/>
        </w:rPr>
      </w:pPr>
      <w:r w:rsidRPr="00995052">
        <w:rPr>
          <w:rFonts w:cs="Calibri"/>
          <w:lang w:val="en-US"/>
        </w:rPr>
        <w:t xml:space="preserve">If significant redemptions of Tokens are requested, it may not be possible to liquidate the Fund’s investments at the time such redemptions are requested </w:t>
      </w:r>
      <w:r w:rsidRPr="00995052">
        <w:rPr>
          <w:rFonts w:cs="Calibri"/>
        </w:rPr>
        <w:t>or</w:t>
      </w:r>
      <w:r w:rsidRPr="00995052">
        <w:rPr>
          <w:rFonts w:cs="Calibri"/>
          <w:lang w:val="en-US"/>
        </w:rPr>
        <w:t xml:space="preserve"> to do so at prices that reflect the true value of such investments. In addition, although it is expected that on winding up, the Fund would liquidate </w:t>
      </w:r>
      <w:proofErr w:type="gramStart"/>
      <w:r w:rsidRPr="00995052">
        <w:rPr>
          <w:rFonts w:cs="Calibri"/>
          <w:lang w:val="en-US"/>
        </w:rPr>
        <w:t>all of</w:t>
      </w:r>
      <w:proofErr w:type="gramEnd"/>
      <w:r w:rsidRPr="00995052">
        <w:rPr>
          <w:rFonts w:cs="Calibri"/>
          <w:lang w:val="en-US"/>
        </w:rPr>
        <w:t xml:space="preserve"> its investments and distribute cash to its Token Holders, there can be no assurance that this will occur.</w:t>
      </w:r>
    </w:p>
    <w:p w14:paraId="6E09D59E" w14:textId="77777777" w:rsidR="000229DC" w:rsidRPr="005942B2" w:rsidRDefault="000229DC" w:rsidP="000229DC">
      <w:pPr>
        <w:pStyle w:val="Level2Number"/>
        <w:rPr>
          <w:b/>
          <w:bCs/>
        </w:rPr>
      </w:pPr>
      <w:r w:rsidRPr="005942B2">
        <w:rPr>
          <w:b/>
          <w:bCs/>
        </w:rPr>
        <w:t>Third-Party Litigation</w:t>
      </w:r>
    </w:p>
    <w:p w14:paraId="7CC00842" w14:textId="7A40D128" w:rsidR="000229DC" w:rsidRDefault="000229DC" w:rsidP="000229DC">
      <w:pPr>
        <w:pStyle w:val="Level3Number"/>
        <w:numPr>
          <w:ilvl w:val="0"/>
          <w:numId w:val="0"/>
        </w:numPr>
        <w:ind w:left="720"/>
      </w:pPr>
      <w:r w:rsidRPr="005942B2">
        <w:t>The Fund’s</w:t>
      </w:r>
      <w:r>
        <w:t xml:space="preserve"> </w:t>
      </w:r>
      <w:r w:rsidRPr="005942B2">
        <w:t>investment activities subject it to the risks of becoming involved in litigation by third parties. The expense of defending against claims by third parties and paying any actual amounts pursuant to settlements or judgments would be borne by the Fund would reduce net assets and could require investors to return to the Fund</w:t>
      </w:r>
      <w:r>
        <w:t xml:space="preserve"> </w:t>
      </w:r>
      <w:r w:rsidRPr="005942B2">
        <w:t>distributed capital and earnings. The Directors and the Fund Manager and others are entitled to be indemnified by the Fund for actual amounts, in connection with such litigation, subject to certain limitations.</w:t>
      </w:r>
    </w:p>
    <w:p w14:paraId="15CAF777" w14:textId="77777777" w:rsidR="000229DC" w:rsidRDefault="000229DC" w:rsidP="000229DC">
      <w:pPr>
        <w:pStyle w:val="Level2Number"/>
        <w:rPr>
          <w:b/>
          <w:bCs/>
        </w:rPr>
      </w:pPr>
      <w:r w:rsidRPr="000229DC">
        <w:rPr>
          <w:b/>
          <w:bCs/>
        </w:rPr>
        <w:t xml:space="preserve">Risks Associated with </w:t>
      </w:r>
      <w:r>
        <w:rPr>
          <w:b/>
          <w:bCs/>
        </w:rPr>
        <w:t>D</w:t>
      </w:r>
      <w:r w:rsidRPr="000229DC">
        <w:rPr>
          <w:b/>
          <w:bCs/>
        </w:rPr>
        <w:t xml:space="preserve">elays in </w:t>
      </w:r>
      <w:r>
        <w:rPr>
          <w:b/>
          <w:bCs/>
        </w:rPr>
        <w:t>P</w:t>
      </w:r>
      <w:r w:rsidRPr="000229DC">
        <w:rPr>
          <w:b/>
          <w:bCs/>
        </w:rPr>
        <w:t xml:space="preserve">roviding </w:t>
      </w:r>
      <w:r>
        <w:rPr>
          <w:b/>
          <w:bCs/>
        </w:rPr>
        <w:t>C</w:t>
      </w:r>
      <w:r w:rsidRPr="000229DC">
        <w:rPr>
          <w:b/>
          <w:bCs/>
        </w:rPr>
        <w:t xml:space="preserve">omplete </w:t>
      </w:r>
      <w:r>
        <w:rPr>
          <w:b/>
          <w:bCs/>
        </w:rPr>
        <w:t>C</w:t>
      </w:r>
      <w:r w:rsidRPr="000229DC">
        <w:rPr>
          <w:b/>
          <w:bCs/>
        </w:rPr>
        <w:t xml:space="preserve">ustomer </w:t>
      </w:r>
      <w:r>
        <w:rPr>
          <w:b/>
          <w:bCs/>
        </w:rPr>
        <w:t>D</w:t>
      </w:r>
      <w:r w:rsidRPr="000229DC">
        <w:rPr>
          <w:b/>
          <w:bCs/>
        </w:rPr>
        <w:t xml:space="preserve">ue </w:t>
      </w:r>
      <w:r>
        <w:rPr>
          <w:b/>
          <w:bCs/>
        </w:rPr>
        <w:t>D</w:t>
      </w:r>
      <w:r w:rsidRPr="000229DC">
        <w:rPr>
          <w:b/>
          <w:bCs/>
        </w:rPr>
        <w:t>iligence</w:t>
      </w:r>
    </w:p>
    <w:p w14:paraId="26843F96" w14:textId="77777777" w:rsidR="000229DC" w:rsidRPr="000229DC" w:rsidRDefault="000229DC" w:rsidP="000229DC">
      <w:pPr>
        <w:pStyle w:val="Level2Number"/>
        <w:numPr>
          <w:ilvl w:val="0"/>
          <w:numId w:val="0"/>
        </w:numPr>
        <w:ind w:left="720"/>
        <w:rPr>
          <w:b/>
          <w:bCs/>
        </w:rPr>
      </w:pPr>
      <w:r>
        <w:t>Token Holders should note that there is a risk that any delay in providing the Administrator with all documents required in connection with the Fund's obligations to prevent money laundering and terrorist financing may result in Shares not being issued on a particular Dealing Day.</w:t>
      </w:r>
    </w:p>
    <w:p w14:paraId="70129997" w14:textId="489D33AD" w:rsidR="000229DC" w:rsidRPr="000229DC" w:rsidRDefault="000229DC" w:rsidP="000229DC">
      <w:pPr>
        <w:pStyle w:val="Level3Number"/>
        <w:numPr>
          <w:ilvl w:val="0"/>
          <w:numId w:val="0"/>
        </w:numPr>
        <w:rPr>
          <w:rFonts w:cs="Calibri"/>
          <w:b/>
          <w:bCs/>
        </w:rPr>
      </w:pPr>
      <w:r w:rsidRPr="000229DC">
        <w:rPr>
          <w:rFonts w:cs="Calibri"/>
          <w:b/>
          <w:bCs/>
          <w:lang w:val="en-US"/>
        </w:rPr>
        <w:t>Market Risks</w:t>
      </w:r>
    </w:p>
    <w:p w14:paraId="40FFE55D" w14:textId="7CAD7A33" w:rsidR="0016365A" w:rsidRPr="000229DC" w:rsidRDefault="000229DC" w:rsidP="000229DC">
      <w:pPr>
        <w:pStyle w:val="Level2Number"/>
        <w:rPr>
          <w:b/>
        </w:rPr>
      </w:pPr>
      <w:bookmarkStart w:id="24" w:name="_Hlk167981119"/>
      <w:r>
        <w:rPr>
          <w:b/>
        </w:rPr>
        <w:t xml:space="preserve">General </w:t>
      </w:r>
      <w:r w:rsidR="0016365A" w:rsidRPr="000229DC">
        <w:rPr>
          <w:b/>
        </w:rPr>
        <w:t>Market Risk</w:t>
      </w:r>
    </w:p>
    <w:p w14:paraId="0CCD66EC" w14:textId="77777777" w:rsidR="00346503" w:rsidRDefault="0016365A" w:rsidP="00995052">
      <w:pPr>
        <w:pStyle w:val="Level3Number"/>
        <w:numPr>
          <w:ilvl w:val="0"/>
          <w:numId w:val="0"/>
        </w:numPr>
        <w:ind w:left="720"/>
      </w:pPr>
      <w:r w:rsidRPr="005942B2">
        <w:t xml:space="preserve">Any investment made in a specific group of securities is exposed to the universal risks of the securities market.  However, there can be no guarantee that losses equivalent to or greater </w:t>
      </w:r>
      <w:bookmarkEnd w:id="24"/>
      <w:r w:rsidRPr="005942B2">
        <w:t xml:space="preserve">than the overall market will not be incurred </w:t>
      </w:r>
      <w:proofErr w:type="gramStart"/>
      <w:r w:rsidRPr="005942B2">
        <w:t>as a result of</w:t>
      </w:r>
      <w:proofErr w:type="gramEnd"/>
      <w:r w:rsidRPr="005942B2">
        <w:t xml:space="preserve"> investing in such securities.</w:t>
      </w:r>
    </w:p>
    <w:p w14:paraId="3D8F1F59" w14:textId="5BF2CDC8" w:rsidR="0016365A" w:rsidRPr="00995052" w:rsidRDefault="0016365A" w:rsidP="00995052">
      <w:pPr>
        <w:pStyle w:val="Level2Number"/>
        <w:rPr>
          <w:rStyle w:val="Emphasis"/>
          <w:b/>
          <w:bCs/>
        </w:rPr>
      </w:pPr>
      <w:r w:rsidRPr="00995052">
        <w:rPr>
          <w:b/>
          <w:bCs/>
        </w:rPr>
        <w:t>Economic</w:t>
      </w:r>
      <w:r w:rsidRPr="00995052">
        <w:rPr>
          <w:rStyle w:val="Emphasis"/>
          <w:rFonts w:asciiTheme="majorBidi" w:hAnsiTheme="majorBidi" w:cstheme="majorBidi"/>
          <w:b/>
          <w:bCs/>
        </w:rPr>
        <w:t xml:space="preserve"> </w:t>
      </w:r>
      <w:r w:rsidRPr="00995052">
        <w:rPr>
          <w:b/>
          <w:bCs/>
        </w:rPr>
        <w:t>Conditions</w:t>
      </w:r>
    </w:p>
    <w:p w14:paraId="7F481CAE" w14:textId="77777777" w:rsidR="00C50868" w:rsidRDefault="0016365A" w:rsidP="00995052">
      <w:pPr>
        <w:pStyle w:val="Level3Number"/>
        <w:numPr>
          <w:ilvl w:val="0"/>
          <w:numId w:val="0"/>
        </w:numPr>
        <w:ind w:left="720"/>
      </w:pPr>
      <w:r w:rsidRPr="005942B2">
        <w:t>Changes in economic conditions, including, for example, market rates (as a benchmark), inflation rates, employment conditions, competition, technological developments, political and diplomatic events and trends, and tax laws can affect substantially and adversely the business and prospects of the Fund. None of these conditions is within the control of the Fund</w:t>
      </w:r>
      <w:r w:rsidR="00346503">
        <w:t xml:space="preserve"> </w:t>
      </w:r>
      <w:r w:rsidRPr="005942B2">
        <w:t>or the Fund Manager and no assurances can be given that the Fund</w:t>
      </w:r>
      <w:r w:rsidR="00346503">
        <w:t xml:space="preserve"> or t</w:t>
      </w:r>
      <w:r w:rsidRPr="005942B2">
        <w:t xml:space="preserve">he Fund Manager will anticipate these developments. </w:t>
      </w:r>
    </w:p>
    <w:p w14:paraId="26E3856D" w14:textId="4A21480B" w:rsidR="00BC6920" w:rsidRPr="005942B2" w:rsidRDefault="00BC6920" w:rsidP="00BC6920">
      <w:pPr>
        <w:pStyle w:val="Level2Number"/>
        <w:rPr>
          <w:b/>
          <w:bCs/>
        </w:rPr>
      </w:pPr>
      <w:r>
        <w:rPr>
          <w:b/>
          <w:bCs/>
        </w:rPr>
        <w:t>Competition Ri</w:t>
      </w:r>
      <w:r w:rsidR="0074460B">
        <w:rPr>
          <w:b/>
          <w:bCs/>
        </w:rPr>
        <w:t>s</w:t>
      </w:r>
      <w:r>
        <w:rPr>
          <w:b/>
          <w:bCs/>
        </w:rPr>
        <w:t>k</w:t>
      </w:r>
    </w:p>
    <w:p w14:paraId="402D5A07" w14:textId="1B8EB790" w:rsidR="00BC6920" w:rsidRDefault="0074460B" w:rsidP="0074460B">
      <w:pPr>
        <w:pStyle w:val="Level3Number"/>
      </w:pPr>
      <w:r>
        <w:lastRenderedPageBreak/>
        <w:t xml:space="preserve">There are </w:t>
      </w:r>
      <w:proofErr w:type="gramStart"/>
      <w:r>
        <w:t>a number of</w:t>
      </w:r>
      <w:proofErr w:type="gramEnd"/>
      <w:r>
        <w:t xml:space="preserve"> other issuers for products similar to the Tokens, and other competitors may enter the market at any time. The effect of new or additional competition on the Tokens or their market prices cannot be predicted or quantified. Indirect competing products are offered by several exchanges such as swarm markets in the form of purchase of depository certificates.  Another indirect competition is in the form of purely synthetic asset tracking tokens. A third variant of competitors, allow accumulating fixed-income yields, for example Ondo Finance Some of the competitors have significantly greater financial and legal resources than the Fund and there is no guarantee that the Fund will be able to compete successfully, or at all, with such competitors. Moreover, increased competition may severely impact the profitability and creditworthiness of the Fund</w:t>
      </w:r>
    </w:p>
    <w:p w14:paraId="78915E4A" w14:textId="7396E7D0" w:rsidR="0016365A" w:rsidRPr="000229DC" w:rsidRDefault="0016365A" w:rsidP="000229DC">
      <w:pPr>
        <w:pStyle w:val="Level2Number"/>
        <w:rPr>
          <w:rStyle w:val="Emphasis"/>
          <w:b/>
          <w:bCs/>
        </w:rPr>
      </w:pPr>
      <w:r w:rsidRPr="000229DC">
        <w:rPr>
          <w:b/>
          <w:bCs/>
        </w:rPr>
        <w:t>Currency</w:t>
      </w:r>
      <w:r w:rsidRPr="000229DC">
        <w:rPr>
          <w:rStyle w:val="Emphasis"/>
          <w:rFonts w:asciiTheme="majorBidi" w:hAnsiTheme="majorBidi" w:cstheme="majorBidi"/>
          <w:b/>
          <w:bCs/>
        </w:rPr>
        <w:t xml:space="preserve"> </w:t>
      </w:r>
      <w:r w:rsidRPr="000229DC">
        <w:rPr>
          <w:b/>
          <w:bCs/>
        </w:rPr>
        <w:t>Risks</w:t>
      </w:r>
    </w:p>
    <w:p w14:paraId="7BDB32E4" w14:textId="1553D4F7" w:rsidR="0016365A" w:rsidRPr="005942B2" w:rsidRDefault="0016365A" w:rsidP="00995052">
      <w:pPr>
        <w:pStyle w:val="Level3Number"/>
        <w:numPr>
          <w:ilvl w:val="0"/>
          <w:numId w:val="0"/>
        </w:numPr>
        <w:ind w:left="720"/>
      </w:pPr>
      <w:r w:rsidRPr="005942B2">
        <w:t>The base currency of the Fund</w:t>
      </w:r>
      <w:r w:rsidR="00C50868">
        <w:t xml:space="preserve"> </w:t>
      </w:r>
      <w:r w:rsidRPr="005942B2">
        <w:t>is the US$</w:t>
      </w:r>
      <w:r w:rsidR="00C50868">
        <w:t>.  Tokens</w:t>
      </w:r>
      <w:r w:rsidRPr="005942B2">
        <w:t xml:space="preserve"> in the Fund will be issued and redeemed in the US$ unless otherwise </w:t>
      </w:r>
      <w:r w:rsidR="00E60C6C">
        <w:t>specified or agreed with the Fund</w:t>
      </w:r>
      <w:r w:rsidRPr="005942B2">
        <w:t xml:space="preserve">. However, the Fund’s assets may be invested in securities and other investments that are denominated in currencies other than US$ and the income and gains received may be denominated in several different currencies. Accordingly, the value of an investment may be affected favourably or unfavourably by fluctuations in exchange rates which may cause the value of investments to go up or down and may have an adverse effect on the price and value of, and income from, investments. In addition, prospective subscribers whose assets and liabilities are primarily denominated in currencies other than the US$ should </w:t>
      </w:r>
      <w:proofErr w:type="gramStart"/>
      <w:r w:rsidRPr="005942B2">
        <w:t>take into account</w:t>
      </w:r>
      <w:proofErr w:type="gramEnd"/>
      <w:r w:rsidRPr="005942B2">
        <w:t xml:space="preserve"> the potential risk of loss arising from fluctuations in the rate of exchange between the US$, Euro and such other currencies.</w:t>
      </w:r>
    </w:p>
    <w:p w14:paraId="233C5854" w14:textId="77777777" w:rsidR="0016365A" w:rsidRPr="005942B2" w:rsidRDefault="0016365A" w:rsidP="0016365A">
      <w:pPr>
        <w:pStyle w:val="Level2Number"/>
        <w:rPr>
          <w:b/>
          <w:bCs/>
        </w:rPr>
      </w:pPr>
      <w:r w:rsidRPr="005942B2">
        <w:rPr>
          <w:b/>
          <w:bCs/>
        </w:rPr>
        <w:t>Credit Trends</w:t>
      </w:r>
    </w:p>
    <w:p w14:paraId="5D155FF6" w14:textId="5FD983A3" w:rsidR="0016365A" w:rsidRPr="005942B2" w:rsidRDefault="0016365A" w:rsidP="00E60C6C">
      <w:pPr>
        <w:pStyle w:val="Level3Number"/>
        <w:numPr>
          <w:ilvl w:val="0"/>
          <w:numId w:val="0"/>
        </w:numPr>
        <w:ind w:left="720"/>
      </w:pPr>
      <w:r w:rsidRPr="005942B2">
        <w:t xml:space="preserve">The value of specific investments may decline due to developments in the trends of </w:t>
      </w:r>
      <w:proofErr w:type="gramStart"/>
      <w:r w:rsidRPr="005942B2">
        <w:t>particular industries</w:t>
      </w:r>
      <w:proofErr w:type="gramEnd"/>
      <w:r w:rsidRPr="005942B2">
        <w:t xml:space="preserve"> and/or the financial conditions of the credit parties underlying the </w:t>
      </w:r>
      <w:r w:rsidR="00E60C6C">
        <w:t>Tokens</w:t>
      </w:r>
      <w:r w:rsidRPr="005942B2">
        <w:t>. These conditions may result in the Fund sustaining loss on certain investments, particularly if the Fund is required to liquidate investments during adverse markets conditions.</w:t>
      </w:r>
    </w:p>
    <w:p w14:paraId="180F4B38" w14:textId="77777777" w:rsidR="0016365A" w:rsidRPr="005942B2" w:rsidRDefault="0016365A" w:rsidP="0016365A">
      <w:pPr>
        <w:pStyle w:val="Level2Number"/>
        <w:rPr>
          <w:b/>
          <w:bCs/>
        </w:rPr>
      </w:pPr>
      <w:r w:rsidRPr="005942B2">
        <w:rPr>
          <w:b/>
          <w:bCs/>
        </w:rPr>
        <w:t>Term of Investment</w:t>
      </w:r>
    </w:p>
    <w:p w14:paraId="1DC55792" w14:textId="143C485C" w:rsidR="0016365A" w:rsidRPr="005942B2" w:rsidRDefault="0016365A" w:rsidP="00E60C6C">
      <w:pPr>
        <w:pStyle w:val="Level3Number"/>
        <w:numPr>
          <w:ilvl w:val="0"/>
          <w:numId w:val="0"/>
        </w:numPr>
        <w:ind w:left="720"/>
      </w:pPr>
      <w:r w:rsidRPr="005942B2">
        <w:t xml:space="preserve">The Fund’s investment strategy indicates that its portfolio will be concentrated in securities with a view to </w:t>
      </w:r>
      <w:r w:rsidR="00E60C6C">
        <w:t>stable capital protection</w:t>
      </w:r>
      <w:r w:rsidRPr="005942B2">
        <w:t>. Accordingly, an investor should generally consider such investment objectives and strategies and should note, for example, the possible consequences of early redemption.</w:t>
      </w:r>
    </w:p>
    <w:p w14:paraId="36BD46AB" w14:textId="77777777" w:rsidR="0016365A" w:rsidRPr="005942B2" w:rsidRDefault="0016365A" w:rsidP="0016365A">
      <w:pPr>
        <w:pStyle w:val="Level2Number"/>
        <w:rPr>
          <w:b/>
          <w:bCs/>
        </w:rPr>
      </w:pPr>
      <w:r w:rsidRPr="005942B2">
        <w:rPr>
          <w:b/>
          <w:bCs/>
        </w:rPr>
        <w:t>Emerging Markets</w:t>
      </w:r>
    </w:p>
    <w:p w14:paraId="1EED1FBB" w14:textId="77777777" w:rsidR="0016365A" w:rsidRPr="005942B2" w:rsidRDefault="0016365A" w:rsidP="0016365A">
      <w:pPr>
        <w:pStyle w:val="Level3Number"/>
      </w:pPr>
      <w:r w:rsidRPr="005942B2">
        <w:t>In some countries there is a risk of asset expropriation, confiscation tax, political or social instability or diplomatic developments which could affect investments in those countries. Information on certain securities, instruments and investments may be less accessible to the public and entities may not be subject to requirements concerning auditing of accounts, accounting or recording comparable to those some investors are used to.</w:t>
      </w:r>
    </w:p>
    <w:p w14:paraId="09E717D6" w14:textId="1CB5F803" w:rsidR="0016365A" w:rsidRPr="005942B2" w:rsidRDefault="0016365A" w:rsidP="0016365A">
      <w:pPr>
        <w:pStyle w:val="Level3Number"/>
      </w:pPr>
      <w:r w:rsidRPr="005942B2">
        <w:t xml:space="preserve">While generally increasing in volume, some financial markets have, for the most part, substantially less volume than most developed markets and securities of many companies are less </w:t>
      </w:r>
      <w:proofErr w:type="gramStart"/>
      <w:r w:rsidRPr="005942B2">
        <w:t>liquid</w:t>
      </w:r>
      <w:proofErr w:type="gramEnd"/>
      <w:r w:rsidRPr="005942B2">
        <w:t xml:space="preserve"> and their prices are more volatile than securities of comparable companies in largest markets. In many of these countries, there are also very different levels of supervision and regulation of markets, financial institutions and issuers, in comparison to developed countries. In addition, requirements and limitations imposed in some countries to investments by foreigners may affect the performance of the Fund. Any change in laws or currency control measures </w:t>
      </w:r>
      <w:proofErr w:type="gramStart"/>
      <w:r w:rsidRPr="005942B2">
        <w:t>subsequent to</w:t>
      </w:r>
      <w:proofErr w:type="gramEnd"/>
      <w:r w:rsidRPr="005942B2">
        <w:t xml:space="preserve"> an investment can make the repatriation of funds more difficult. Risk of loss due to lack of adequate systems for the transfer, pricing, accounting and custody of </w:t>
      </w:r>
      <w:r w:rsidRPr="005942B2">
        <w:lastRenderedPageBreak/>
        <w:t>securities may also occur. The risk of fraud related to corruption and organised crime is significant.</w:t>
      </w:r>
    </w:p>
    <w:p w14:paraId="018A2A7D" w14:textId="5FE4F2AA" w:rsidR="0016365A" w:rsidRPr="005942B2" w:rsidRDefault="0016365A" w:rsidP="0016365A">
      <w:pPr>
        <w:pStyle w:val="Level3Number"/>
      </w:pPr>
      <w:r w:rsidRPr="005942B2">
        <w:t xml:space="preserve">Systems to settle transactions in emerging markets may be less well organised than in developed countries. There is a risk that the settlement of transactions be </w:t>
      </w:r>
      <w:proofErr w:type="gramStart"/>
      <w:r w:rsidRPr="005942B2">
        <w:t>delayed</w:t>
      </w:r>
      <w:proofErr w:type="gramEnd"/>
      <w:r w:rsidRPr="005942B2">
        <w:t xml:space="preserve"> and that liquid assets or securities of the Fund are jeopardised because of the failure of such systems. </w:t>
      </w:r>
      <w:proofErr w:type="gramStart"/>
      <w:r w:rsidRPr="005942B2">
        <w:t>In particular, market</w:t>
      </w:r>
      <w:proofErr w:type="gramEnd"/>
      <w:r w:rsidRPr="005942B2">
        <w:t xml:space="preserve"> practice may require that payment be made before receipt of the securities purchased or that a security be delivered before the price is received. In such cases, default of a broker or bank through which the transaction was to be made will result in a loss for the Fund that invests in emerging countries securities.</w:t>
      </w:r>
    </w:p>
    <w:p w14:paraId="2C8CA44D" w14:textId="77777777" w:rsidR="0016365A" w:rsidRDefault="0016365A" w:rsidP="0016365A">
      <w:pPr>
        <w:pStyle w:val="Level3Number"/>
      </w:pPr>
      <w:r w:rsidRPr="005942B2">
        <w:t>The economics of many emerging or frontier market countries can be heavily dependent on international trade and, accordingly, have been and may continue to be adversely affected by trade barriers, managed adjustments on relative currency values and other protectionist measures imposed or negotiated by the countries with which they trade and international economic developments generally.</w:t>
      </w:r>
    </w:p>
    <w:p w14:paraId="02421B7C" w14:textId="77777777" w:rsidR="000229DC" w:rsidRPr="000229DC" w:rsidRDefault="000229DC" w:rsidP="000229DC">
      <w:pPr>
        <w:pStyle w:val="Level2Number"/>
        <w:rPr>
          <w:b/>
          <w:bCs/>
        </w:rPr>
      </w:pPr>
      <w:r w:rsidRPr="000229DC">
        <w:rPr>
          <w:b/>
          <w:bCs/>
        </w:rPr>
        <w:t>Management Risk</w:t>
      </w:r>
    </w:p>
    <w:p w14:paraId="3D25088A" w14:textId="1B8F4814" w:rsidR="000229DC" w:rsidRDefault="000229DC" w:rsidP="000229DC">
      <w:pPr>
        <w:pStyle w:val="Level2Number"/>
        <w:numPr>
          <w:ilvl w:val="0"/>
          <w:numId w:val="0"/>
        </w:numPr>
        <w:ind w:left="720"/>
      </w:pPr>
      <w:r>
        <w:t xml:space="preserve">Each index tracking Fund may not fully track its Index and may hold securities not included in its index. As a result, the Fund is subject to the risk that the Fund Manager’s strategy and the implementation thereof, which may be subject to </w:t>
      </w:r>
      <w:proofErr w:type="gramStart"/>
      <w:r>
        <w:t>a number of</w:t>
      </w:r>
      <w:proofErr w:type="gramEnd"/>
      <w:r>
        <w:t xml:space="preserve"> constraints, may not produce the intended results.</w:t>
      </w:r>
    </w:p>
    <w:p w14:paraId="49520F01" w14:textId="77777777" w:rsidR="000229DC" w:rsidRPr="000229DC" w:rsidRDefault="000229DC" w:rsidP="000229DC">
      <w:pPr>
        <w:pStyle w:val="Level2Number"/>
        <w:rPr>
          <w:b/>
          <w:bCs/>
        </w:rPr>
      </w:pPr>
      <w:r w:rsidRPr="000229DC">
        <w:rPr>
          <w:b/>
          <w:bCs/>
        </w:rPr>
        <w:t>Broker Risk and Sub-Custody Risk</w:t>
      </w:r>
    </w:p>
    <w:p w14:paraId="069AC94E" w14:textId="76AA032B" w:rsidR="000229DC" w:rsidRDefault="000A0F2C" w:rsidP="000A0F2C">
      <w:pPr>
        <w:pStyle w:val="Level3Number"/>
        <w:numPr>
          <w:ilvl w:val="0"/>
          <w:numId w:val="0"/>
        </w:numPr>
        <w:ind w:left="720"/>
      </w:pPr>
      <w:r>
        <w:t>T</w:t>
      </w:r>
      <w:r w:rsidR="000229DC">
        <w:t xml:space="preserve">he Fund will be exposed to the credit risk of the counterparties or the brokers and dealers and exchanges through which, it deals, whether it engages in exchange </w:t>
      </w:r>
      <w:proofErr w:type="spellStart"/>
      <w:r w:rsidR="000229DC">
        <w:t>or</w:t>
      </w:r>
      <w:proofErr w:type="spellEnd"/>
      <w:r w:rsidR="000229DC">
        <w:t xml:space="preserve"> off-exchange traded transactions. The Fund may be subject to risk of loss of its assets held by a broker in the event of the broker’s bankruptcy or fraud, the bankruptcy or fraud of any clearing broker through which the broker executes and clears transactions on behalf of the Fund, or the bankruptcy or fraud of an exchange clearing house. The Fund’s investments may be registered in the name of a sub-custodian or broker where, due to the nature of the law or market practice of jurisdictions, it is common market practice. Such Investments may not be segregated from the sub-custodian’s or the broker’s own investments and in the event of default of such sub-custodian or broker may not be protected and may be irrecoverable by the Fund.</w:t>
      </w:r>
    </w:p>
    <w:p w14:paraId="2BE3DE8B" w14:textId="77777777" w:rsidR="000D1914" w:rsidRPr="000D1914" w:rsidRDefault="000D1914" w:rsidP="000D1914">
      <w:pPr>
        <w:pStyle w:val="Level2Number"/>
        <w:rPr>
          <w:b/>
          <w:bCs/>
        </w:rPr>
      </w:pPr>
      <w:r w:rsidRPr="000D1914">
        <w:rPr>
          <w:b/>
          <w:bCs/>
        </w:rPr>
        <w:t>Concentration Risk</w:t>
      </w:r>
    </w:p>
    <w:p w14:paraId="5FDD48CB" w14:textId="2B4E862C" w:rsidR="000D1914" w:rsidRDefault="000D1914" w:rsidP="000D1914">
      <w:pPr>
        <w:pStyle w:val="Level3Number"/>
        <w:numPr>
          <w:ilvl w:val="0"/>
          <w:numId w:val="0"/>
        </w:numPr>
        <w:ind w:left="720"/>
      </w:pPr>
      <w:r>
        <w:t xml:space="preserve">To the extent that the Fund’s portfolio reflects the Index concentration in the securities in a particular market, industry, group of industries, sectors, countries or asset classes, the Fund may be adversely affected by the performance of those </w:t>
      </w:r>
      <w:proofErr w:type="gramStart"/>
      <w:r>
        <w:t>securities, and</w:t>
      </w:r>
      <w:proofErr w:type="gramEnd"/>
      <w:r>
        <w:t xml:space="preserve"> may be subject to increased price volatility and other risks.</w:t>
      </w:r>
    </w:p>
    <w:p w14:paraId="473E8CD5" w14:textId="77777777" w:rsidR="000D1914" w:rsidRPr="000D1914" w:rsidRDefault="000D1914" w:rsidP="000D1914">
      <w:pPr>
        <w:pStyle w:val="Level2Number"/>
        <w:rPr>
          <w:b/>
          <w:bCs/>
        </w:rPr>
      </w:pPr>
      <w:r w:rsidRPr="000D1914">
        <w:rPr>
          <w:b/>
          <w:bCs/>
        </w:rPr>
        <w:t>Asset Class Risk</w:t>
      </w:r>
    </w:p>
    <w:p w14:paraId="45AD8F3C" w14:textId="46E49B9C" w:rsidR="000D1914" w:rsidRDefault="000D1914" w:rsidP="000D1914">
      <w:pPr>
        <w:pStyle w:val="Level3Number"/>
        <w:numPr>
          <w:ilvl w:val="0"/>
          <w:numId w:val="0"/>
        </w:numPr>
        <w:ind w:left="720"/>
      </w:pPr>
      <w:r>
        <w:t>The securities in the index or the Fund’s portfolio may underperform the returns of other securities or indexes that track other industries, groups of industries, markets, asset classes or sectors. Various types of securities or indices tend to experience cycles of outperformance and underperformance in comparison to general securities markets.</w:t>
      </w:r>
    </w:p>
    <w:p w14:paraId="79DF6E72" w14:textId="77777777" w:rsidR="000D1914" w:rsidRDefault="000D1914" w:rsidP="000D1914">
      <w:pPr>
        <w:pStyle w:val="Level2Number"/>
        <w:rPr>
          <w:b/>
          <w:bCs/>
        </w:rPr>
      </w:pPr>
      <w:r w:rsidRPr="000D1914">
        <w:rPr>
          <w:b/>
          <w:bCs/>
        </w:rPr>
        <w:t>Absence of Active Market Risk</w:t>
      </w:r>
    </w:p>
    <w:p w14:paraId="6C37488E" w14:textId="6A8E2012" w:rsidR="000D1914" w:rsidRDefault="000D1914" w:rsidP="000D1914">
      <w:pPr>
        <w:pStyle w:val="Level2Number"/>
        <w:numPr>
          <w:ilvl w:val="0"/>
          <w:numId w:val="0"/>
        </w:numPr>
        <w:ind w:left="720"/>
      </w:pPr>
      <w:r>
        <w:lastRenderedPageBreak/>
        <w:t>Although the ETF shares or units invested in by the Fund are traded on more than one stock exchange, there can no assurance that an active trading market for such shares will develop or be maintained.</w:t>
      </w:r>
    </w:p>
    <w:p w14:paraId="299AF6C4" w14:textId="77777777" w:rsidR="000D1914" w:rsidRPr="000D1914" w:rsidRDefault="000D1914" w:rsidP="000D1914">
      <w:pPr>
        <w:pStyle w:val="Level2Number"/>
        <w:rPr>
          <w:b/>
          <w:bCs/>
        </w:rPr>
      </w:pPr>
      <w:r w:rsidRPr="000D1914">
        <w:rPr>
          <w:b/>
          <w:bCs/>
        </w:rPr>
        <w:t>Investing in Other Collective Investment Schemes</w:t>
      </w:r>
    </w:p>
    <w:p w14:paraId="38F985A9" w14:textId="315A1771" w:rsidR="000D1914" w:rsidRDefault="000D1914" w:rsidP="000A0F2C">
      <w:pPr>
        <w:pStyle w:val="Level2Number"/>
        <w:numPr>
          <w:ilvl w:val="0"/>
          <w:numId w:val="0"/>
        </w:numPr>
        <w:ind w:left="720"/>
      </w:pPr>
      <w:r>
        <w:t>The Fund will purchase shares or units of other collective investment schemes. The cost of investing in the Fund which purchases shares of other collective investment schemes will generally be higher than the cost of investing in an investment fund that invests directly in individual stocks and bonds because, by investing in such a fund, an investor will indirectly bear fees and expenses charged by the underlying funds in addition to the Fund’s direct fees and expenses. Where the Fund invests substantially in other collective investment schemes, the risks associated with investing in the Fund may be closely related to the risks associated with the securities and other investments held by the other collective investment schemes. The Fund will rely on the calculation and publication of the net asset values of the underlying regulated funds in the calculation of its Net Asset Value. Accordingly, any delay, suspension or inaccuracy in the calculation of the net asset value of an underlying regulated fund will directly impact on the calculation of the Net Asset Value of the Fund.</w:t>
      </w:r>
    </w:p>
    <w:p w14:paraId="3C1F01F5" w14:textId="491AA65C" w:rsidR="000229DC" w:rsidRPr="000229DC" w:rsidRDefault="000229DC" w:rsidP="000229DC">
      <w:pPr>
        <w:pStyle w:val="Level2Number"/>
        <w:numPr>
          <w:ilvl w:val="0"/>
          <w:numId w:val="0"/>
        </w:numPr>
        <w:ind w:left="720" w:hanging="720"/>
        <w:rPr>
          <w:b/>
          <w:bCs/>
        </w:rPr>
      </w:pPr>
      <w:r w:rsidRPr="005942B2">
        <w:rPr>
          <w:b/>
          <w:bCs/>
        </w:rPr>
        <w:t>Legal and Regulatory Risks</w:t>
      </w:r>
    </w:p>
    <w:p w14:paraId="042ACA2F" w14:textId="77777777" w:rsidR="0074460B" w:rsidRPr="005942B2" w:rsidRDefault="0074460B" w:rsidP="0074460B">
      <w:pPr>
        <w:pStyle w:val="Level2Number"/>
        <w:rPr>
          <w:b/>
          <w:bCs/>
        </w:rPr>
      </w:pPr>
      <w:r w:rsidRPr="005942B2">
        <w:rPr>
          <w:b/>
          <w:bCs/>
        </w:rPr>
        <w:t>Legal and Regulatory Risks</w:t>
      </w:r>
    </w:p>
    <w:p w14:paraId="789B2DBC" w14:textId="77777777" w:rsidR="0074460B" w:rsidRDefault="0074460B" w:rsidP="0074460B">
      <w:pPr>
        <w:pStyle w:val="Level3Number"/>
      </w:pPr>
      <w:r w:rsidRPr="005942B2">
        <w:t>Legal and regulatory changes could occur that may adversely affect the Fund. None of these conditions is within the control of the Fund</w:t>
      </w:r>
      <w:r>
        <w:t xml:space="preserve"> </w:t>
      </w:r>
      <w:r w:rsidRPr="005942B2">
        <w:t>or the Fund Manager and no assurances can be given that the Fund</w:t>
      </w:r>
      <w:r>
        <w:t xml:space="preserve"> </w:t>
      </w:r>
      <w:r w:rsidRPr="005942B2">
        <w:t>or the Fund Manager will anticipate these developments.</w:t>
      </w:r>
    </w:p>
    <w:p w14:paraId="74367C21" w14:textId="77777777" w:rsidR="0074460B" w:rsidRPr="005942B2" w:rsidRDefault="0074460B" w:rsidP="0074460B">
      <w:pPr>
        <w:pStyle w:val="Level3Number"/>
      </w:pPr>
      <w:r>
        <w:t>The Fund issues financial products whose regulatory environment appears to be unclear because it is constantly developing and adapting to new technologies. This applies particularly to the business with tokenized securities. Regulatory changes are to be expected here at national and international level. This may lead to significant cost increases in the operating business and may have a material adverse effect on the Issuer's net assets, financial position and results of operations and thus negatively affect its ability to fulfil claims arising from the Products. Therefore, it cannot be ruled out that negative effects of a change in the regulatory environment will result in the Fund no longer being able to operate its business operations economically and having to discontinue them as whole or partially. This includes a risk of total loss for the investors.</w:t>
      </w:r>
    </w:p>
    <w:p w14:paraId="094A5851" w14:textId="7BCA5E9F" w:rsidR="0074460B" w:rsidRPr="005942B2" w:rsidRDefault="0074460B" w:rsidP="0074460B">
      <w:pPr>
        <w:pStyle w:val="Level3Number"/>
      </w:pPr>
      <w:r w:rsidRPr="005942B2">
        <w:t>Companies in the MENA region are generally not subject to regulations comparable to those in more developed countries with respect to such matters as transactions with Affiliates, insider trading rules, tender offer regulation, shareholder proxy requirements and the timely disclosure of material information. In certain of the target countries, minority shareholders are afforded limited protection and management or controlling shareholders may be able to take actions against the interests of minority shareholders, which would result in share dilution and may be detrimental for the Fund. Further, in certain countries of the MENA region, local market participants may have access to more information than is available to the</w:t>
      </w:r>
      <w:r>
        <w:t xml:space="preserve"> Fund</w:t>
      </w:r>
      <w:r w:rsidRPr="005942B2">
        <w:t>. In addition, existing laws and regulations are sometimes inconsistently and unreliably applied and enforced in some of the countries of the MENA region.</w:t>
      </w:r>
    </w:p>
    <w:p w14:paraId="2A87DBDE" w14:textId="77777777" w:rsidR="0016365A" w:rsidRPr="005942B2" w:rsidRDefault="0016365A" w:rsidP="0016365A">
      <w:pPr>
        <w:pStyle w:val="Level2Number"/>
        <w:rPr>
          <w:b/>
          <w:bCs/>
        </w:rPr>
      </w:pPr>
      <w:r w:rsidRPr="005942B2">
        <w:rPr>
          <w:b/>
          <w:bCs/>
        </w:rPr>
        <w:t>Risks of custody</w:t>
      </w:r>
    </w:p>
    <w:p w14:paraId="390A93FA" w14:textId="547522A0" w:rsidR="0016365A" w:rsidRPr="005942B2" w:rsidRDefault="0016365A" w:rsidP="00B444E6">
      <w:pPr>
        <w:pStyle w:val="Level3Number"/>
        <w:numPr>
          <w:ilvl w:val="0"/>
          <w:numId w:val="0"/>
        </w:numPr>
        <w:ind w:left="720"/>
      </w:pPr>
      <w:r w:rsidRPr="005942B2">
        <w:t>The assets of the Fund</w:t>
      </w:r>
      <w:r w:rsidR="00B444E6">
        <w:t xml:space="preserve"> held by custodians (if any) </w:t>
      </w:r>
      <w:r w:rsidRPr="005942B2">
        <w:t xml:space="preserve">is exposed to the risk of loss of assets held </w:t>
      </w:r>
      <w:proofErr w:type="gramStart"/>
      <w:r w:rsidRPr="005942B2">
        <w:t>as a result of</w:t>
      </w:r>
      <w:proofErr w:type="gramEnd"/>
      <w:r w:rsidRPr="005942B2">
        <w:t xml:space="preserve"> insolvency, negligence or fraudulent transaction by the Custodian.</w:t>
      </w:r>
    </w:p>
    <w:p w14:paraId="65DBA21E" w14:textId="0E3D324E" w:rsidR="0016365A" w:rsidRPr="005942B2" w:rsidRDefault="0016365A" w:rsidP="0016365A">
      <w:pPr>
        <w:pStyle w:val="Level2Number"/>
        <w:rPr>
          <w:b/>
          <w:bCs/>
        </w:rPr>
      </w:pPr>
      <w:r w:rsidRPr="005942B2">
        <w:rPr>
          <w:b/>
          <w:bCs/>
        </w:rPr>
        <w:t xml:space="preserve">Operational </w:t>
      </w:r>
      <w:r w:rsidR="0074460B">
        <w:rPr>
          <w:b/>
          <w:bCs/>
        </w:rPr>
        <w:t>R</w:t>
      </w:r>
      <w:r w:rsidRPr="005942B2">
        <w:rPr>
          <w:b/>
          <w:bCs/>
        </w:rPr>
        <w:t>isks</w:t>
      </w:r>
    </w:p>
    <w:p w14:paraId="35E73536" w14:textId="4DCA3392" w:rsidR="0016365A" w:rsidRDefault="0016365A" w:rsidP="00834752">
      <w:pPr>
        <w:pStyle w:val="Level3Number"/>
        <w:numPr>
          <w:ilvl w:val="0"/>
          <w:numId w:val="0"/>
        </w:numPr>
        <w:ind w:left="720"/>
      </w:pPr>
      <w:r w:rsidRPr="005942B2">
        <w:lastRenderedPageBreak/>
        <w:t xml:space="preserve">The operations of the Fund (including investment management) are carried out by the service providers mentioned in this Prospectus. In the event of bankruptcy or insolvency of a service provider, investors may experience delays (for example, delays in the processing of subscriptions, conversions and redemption of </w:t>
      </w:r>
      <w:r w:rsidR="00B444E6">
        <w:t>Tokens</w:t>
      </w:r>
      <w:r w:rsidRPr="005942B2">
        <w:t>) or other disruptions.</w:t>
      </w:r>
    </w:p>
    <w:p w14:paraId="67F2A6E5" w14:textId="77777777" w:rsidR="000D1914" w:rsidRPr="000D1914" w:rsidRDefault="000D1914" w:rsidP="000D1914">
      <w:pPr>
        <w:pStyle w:val="Level2Number"/>
        <w:rPr>
          <w:b/>
          <w:bCs/>
        </w:rPr>
      </w:pPr>
      <w:r w:rsidRPr="000D1914">
        <w:rPr>
          <w:b/>
          <w:bCs/>
        </w:rPr>
        <w:t>Suspension Risks</w:t>
      </w:r>
    </w:p>
    <w:p w14:paraId="7F278B28" w14:textId="403B2926" w:rsidR="000D1914" w:rsidRDefault="000D1914" w:rsidP="000D1914">
      <w:pPr>
        <w:pStyle w:val="Level3Number"/>
        <w:numPr>
          <w:ilvl w:val="0"/>
          <w:numId w:val="0"/>
        </w:numPr>
        <w:ind w:left="720"/>
      </w:pPr>
      <w:r>
        <w:t xml:space="preserve">The Fund may suspend calculation of the Net Asset Value and the subscription and redemption of Tokens under certain circumstances. During such suspension it may be difficult for an investor to buy or sell Tokens, and the market price may not reflect the Net Asset Value per Token. </w:t>
      </w:r>
      <w:proofErr w:type="gramStart"/>
      <w:r>
        <w:t>In the event that</w:t>
      </w:r>
      <w:proofErr w:type="gramEnd"/>
      <w:r>
        <w:t xml:space="preserve"> the Fund has to suspend the subscription and redemption of Tokens, or if an exchange on which a Fund’s underlying investments are traded is closed, it is expected that larger discounts or premiums could arise.</w:t>
      </w:r>
    </w:p>
    <w:p w14:paraId="35A98523" w14:textId="032A4042" w:rsidR="0060430F" w:rsidRPr="005942B2" w:rsidRDefault="0060430F" w:rsidP="0060430F">
      <w:pPr>
        <w:pStyle w:val="Level2Number"/>
        <w:rPr>
          <w:b/>
          <w:bCs/>
        </w:rPr>
      </w:pPr>
      <w:r>
        <w:rPr>
          <w:b/>
          <w:bCs/>
        </w:rPr>
        <w:t>Availability of Banking Services</w:t>
      </w:r>
    </w:p>
    <w:p w14:paraId="30023505" w14:textId="2D0F44E5" w:rsidR="0060430F" w:rsidRDefault="0060430F" w:rsidP="0060430F">
      <w:pPr>
        <w:pStyle w:val="Level3Number"/>
        <w:numPr>
          <w:ilvl w:val="0"/>
          <w:numId w:val="0"/>
        </w:numPr>
        <w:ind w:left="720"/>
      </w:pPr>
      <w:r w:rsidRPr="0060430F">
        <w:t xml:space="preserve">The Fund and other entities involved with </w:t>
      </w:r>
      <w:r>
        <w:t>d</w:t>
      </w:r>
      <w:r w:rsidRPr="0060430F">
        <w:t xml:space="preserve">igital </w:t>
      </w:r>
      <w:r>
        <w:t>a</w:t>
      </w:r>
      <w:r w:rsidRPr="0060430F">
        <w:t xml:space="preserve">ssets might lose access to fiat banking services from financial institutions at any time. This could occur if these institutions voluntarily choose to stop serving entities involved with </w:t>
      </w:r>
      <w:r>
        <w:t>d</w:t>
      </w:r>
      <w:r w:rsidRPr="0060430F">
        <w:t xml:space="preserve">igital </w:t>
      </w:r>
      <w:r>
        <w:t>a</w:t>
      </w:r>
      <w:r w:rsidRPr="0060430F">
        <w:t xml:space="preserve">ssets or due to regulatory changes that restrict or prevent them from providing services to such entities. The inability to secure, maintain, and use these banking services may hinder the Fund's ability to distribute fiat currency to </w:t>
      </w:r>
      <w:r>
        <w:t>Token Holders</w:t>
      </w:r>
      <w:r w:rsidRPr="0060430F">
        <w:t>, pay service providers and other expenses on time, or complete a timely and orderly liquidation of the Fund. Any of these issues could have a significant negative impact on the Fund</w:t>
      </w:r>
      <w:r>
        <w:t>.</w:t>
      </w:r>
    </w:p>
    <w:p w14:paraId="7D1C6EB6" w14:textId="7D2C4CE1" w:rsidR="000229DC" w:rsidRDefault="000229DC" w:rsidP="000229DC">
      <w:pPr>
        <w:pStyle w:val="Level3Number"/>
        <w:numPr>
          <w:ilvl w:val="0"/>
          <w:numId w:val="0"/>
        </w:numPr>
        <w:rPr>
          <w:b/>
          <w:bCs/>
        </w:rPr>
      </w:pPr>
      <w:r w:rsidRPr="000229DC">
        <w:rPr>
          <w:b/>
          <w:bCs/>
        </w:rPr>
        <w:t>Technology Risks</w:t>
      </w:r>
    </w:p>
    <w:p w14:paraId="4A7FE4CF" w14:textId="77777777" w:rsidR="0060430F" w:rsidRPr="0060430F" w:rsidRDefault="0060430F" w:rsidP="0060430F">
      <w:pPr>
        <w:pStyle w:val="Level2Number"/>
        <w:rPr>
          <w:b/>
          <w:bCs/>
        </w:rPr>
      </w:pPr>
      <w:r w:rsidRPr="0060430F">
        <w:rPr>
          <w:b/>
          <w:bCs/>
        </w:rPr>
        <w:t>Risk of Loss of Private Key</w:t>
      </w:r>
    </w:p>
    <w:p w14:paraId="2779A34E" w14:textId="578FC968" w:rsidR="0060430F" w:rsidRPr="0060430F" w:rsidRDefault="0060430F" w:rsidP="0060430F">
      <w:pPr>
        <w:pStyle w:val="Level3Number"/>
        <w:numPr>
          <w:ilvl w:val="0"/>
          <w:numId w:val="0"/>
        </w:numPr>
        <w:ind w:left="720"/>
      </w:pPr>
      <w:r w:rsidRPr="0060430F">
        <w:t xml:space="preserve">Digital </w:t>
      </w:r>
      <w:r>
        <w:t>a</w:t>
      </w:r>
      <w:r w:rsidRPr="0060430F">
        <w:t xml:space="preserve">ssets can only be accessed by the possessor of the unique private keys corresponding to the addresses where the assets are held. If a private key is stolen, lost, or destroyed, the loss is irreversible, and the Fund cannot restore it. Any loss of private keys associated with digital wallets used by the Fund could lead to the loss of those </w:t>
      </w:r>
      <w:r>
        <w:t>d</w:t>
      </w:r>
      <w:r w:rsidRPr="0060430F">
        <w:t xml:space="preserve">igital </w:t>
      </w:r>
      <w:r>
        <w:t>a</w:t>
      </w:r>
      <w:r w:rsidRPr="0060430F">
        <w:t xml:space="preserve">ssets, potentially causing a </w:t>
      </w:r>
      <w:r>
        <w:t>Token Holder</w:t>
      </w:r>
      <w:r w:rsidRPr="0060430F">
        <w:t xml:space="preserve"> to incur substantial, or even total, capital loss.</w:t>
      </w:r>
    </w:p>
    <w:p w14:paraId="007AB378" w14:textId="77777777" w:rsidR="0060430F" w:rsidRPr="0060430F" w:rsidRDefault="0060430F" w:rsidP="0060430F">
      <w:pPr>
        <w:pStyle w:val="Level2Number"/>
        <w:rPr>
          <w:b/>
          <w:bCs/>
        </w:rPr>
      </w:pPr>
      <w:r w:rsidRPr="0060430F">
        <w:rPr>
          <w:b/>
          <w:bCs/>
        </w:rPr>
        <w:t>Limitations on Scaling Digital Asset Networks</w:t>
      </w:r>
    </w:p>
    <w:p w14:paraId="7E43A4AF" w14:textId="03419AD2" w:rsidR="0060430F" w:rsidRPr="0060430F" w:rsidRDefault="0060430F" w:rsidP="0060430F">
      <w:pPr>
        <w:pStyle w:val="Level3Number"/>
        <w:numPr>
          <w:ilvl w:val="0"/>
          <w:numId w:val="0"/>
        </w:numPr>
        <w:ind w:left="720"/>
      </w:pPr>
      <w:r w:rsidRPr="0060430F">
        <w:t xml:space="preserve">Many </w:t>
      </w:r>
      <w:r>
        <w:t>n</w:t>
      </w:r>
      <w:r w:rsidRPr="0060430F">
        <w:t xml:space="preserve">etworks encounter scaling challenges due to the inherent trade-off between security and scalability in public </w:t>
      </w:r>
      <w:r>
        <w:t>n</w:t>
      </w:r>
      <w:r w:rsidRPr="0060430F">
        <w:t>etworks. Currently, decentrali</w:t>
      </w:r>
      <w:r>
        <w:t>s</w:t>
      </w:r>
      <w:r w:rsidRPr="0060430F">
        <w:t xml:space="preserve">ed </w:t>
      </w:r>
      <w:r>
        <w:t>n</w:t>
      </w:r>
      <w:r w:rsidRPr="0060430F">
        <w:t>etworks are generally viewed as more secure than centrali</w:t>
      </w:r>
      <w:r>
        <w:t>s</w:t>
      </w:r>
      <w:r w:rsidRPr="0060430F">
        <w:t>ed ones because they reduce the risk of manipulation or capture by a single entity or small group. However, this decentrali</w:t>
      </w:r>
      <w:r>
        <w:t>s</w:t>
      </w:r>
      <w:r w:rsidRPr="0060430F">
        <w:t xml:space="preserve">ation can also limit the number of transactions a </w:t>
      </w:r>
      <w:r>
        <w:t>n</w:t>
      </w:r>
      <w:r w:rsidRPr="0060430F">
        <w:t>etwork can process, as each node participating in transaction verification has its own capabilities and requirements.</w:t>
      </w:r>
    </w:p>
    <w:p w14:paraId="0411C038" w14:textId="77777777" w:rsidR="0060430F" w:rsidRPr="0060430F" w:rsidRDefault="0060430F" w:rsidP="0060430F">
      <w:pPr>
        <w:pStyle w:val="Level2Number"/>
        <w:rPr>
          <w:b/>
          <w:bCs/>
        </w:rPr>
      </w:pPr>
      <w:r w:rsidRPr="0060430F">
        <w:rPr>
          <w:b/>
          <w:bCs/>
        </w:rPr>
        <w:t>Digital Asset Transaction Costs and Settlement Times</w:t>
      </w:r>
    </w:p>
    <w:p w14:paraId="3807DFEA" w14:textId="0F5EA84B" w:rsidR="0060430F" w:rsidRPr="0060430F" w:rsidRDefault="0060430F" w:rsidP="0060430F">
      <w:pPr>
        <w:pStyle w:val="Level3Number"/>
        <w:numPr>
          <w:ilvl w:val="0"/>
          <w:numId w:val="0"/>
        </w:numPr>
        <w:ind w:left="720"/>
      </w:pPr>
      <w:r w:rsidRPr="0060430F">
        <w:t xml:space="preserve">Transaction costs for purchasing, selling, or exchanging </w:t>
      </w:r>
      <w:r>
        <w:t>d</w:t>
      </w:r>
      <w:r w:rsidRPr="0060430F">
        <w:t xml:space="preserve">igital </w:t>
      </w:r>
      <w:r>
        <w:t>a</w:t>
      </w:r>
      <w:r w:rsidRPr="0060430F">
        <w:t xml:space="preserve">ssets can be substantial, depending on the </w:t>
      </w:r>
      <w:r>
        <w:t>n</w:t>
      </w:r>
      <w:r w:rsidRPr="0060430F">
        <w:t xml:space="preserve">etwork, </w:t>
      </w:r>
      <w:r>
        <w:t>d</w:t>
      </w:r>
      <w:r w:rsidRPr="0060430F">
        <w:t xml:space="preserve">igital </w:t>
      </w:r>
      <w:r>
        <w:t>a</w:t>
      </w:r>
      <w:r w:rsidRPr="0060430F">
        <w:t xml:space="preserve">ssets exchange, or other methods used. Since </w:t>
      </w:r>
      <w:r>
        <w:t>n</w:t>
      </w:r>
      <w:r w:rsidRPr="0060430F">
        <w:t>etworks can process only a limited number of transactions simultaneously, the fees and settlement times for specific transactions can be significant. These fees or delays may hinder the Fund’s ability to conduct subsequent transactions or exit positions during periods of high volatility without incurring substantial costs.</w:t>
      </w:r>
    </w:p>
    <w:p w14:paraId="2125D6FF" w14:textId="77777777" w:rsidR="0060430F" w:rsidRPr="0060430F" w:rsidRDefault="0060430F" w:rsidP="0060430F">
      <w:pPr>
        <w:pStyle w:val="Level2Number"/>
        <w:rPr>
          <w:b/>
          <w:bCs/>
        </w:rPr>
      </w:pPr>
      <w:r w:rsidRPr="0060430F">
        <w:rPr>
          <w:b/>
          <w:bCs/>
        </w:rPr>
        <w:t>Stolen or Incorrectly Transferred Digital Assets May be Irretrievable</w:t>
      </w:r>
    </w:p>
    <w:p w14:paraId="43B5B6F3" w14:textId="6948CE8D" w:rsidR="0060430F" w:rsidRPr="0060430F" w:rsidRDefault="0060430F" w:rsidP="0060430F">
      <w:pPr>
        <w:pStyle w:val="Level3Number"/>
        <w:numPr>
          <w:ilvl w:val="0"/>
          <w:numId w:val="0"/>
        </w:numPr>
        <w:ind w:left="720"/>
      </w:pPr>
      <w:r w:rsidRPr="0060430F">
        <w:lastRenderedPageBreak/>
        <w:t xml:space="preserve">Once a transaction is verified and recorded on the blockchain, any incorrect transfer or theft of </w:t>
      </w:r>
      <w:r>
        <w:t>d</w:t>
      </w:r>
      <w:r w:rsidRPr="0060430F">
        <w:t xml:space="preserve">igital </w:t>
      </w:r>
      <w:r>
        <w:t>a</w:t>
      </w:r>
      <w:r w:rsidRPr="0060430F">
        <w:t xml:space="preserve">ssets is generally irreversible, and the Fund may not be able to seek compensation. Through computer or human error, or theft, the Fund’s </w:t>
      </w:r>
      <w:r>
        <w:t>d</w:t>
      </w:r>
      <w:r w:rsidRPr="0060430F">
        <w:t xml:space="preserve">igital </w:t>
      </w:r>
      <w:r>
        <w:t>a</w:t>
      </w:r>
      <w:r w:rsidRPr="0060430F">
        <w:t xml:space="preserve">ssets could be transferred in incorrect amounts or to unauthorized parties. If the Fund cannot correct the transaction or identify the recipient of the assets, it will be unable to recover the incorrectly transferred </w:t>
      </w:r>
      <w:r>
        <w:t>d</w:t>
      </w:r>
      <w:r w:rsidRPr="0060430F">
        <w:t xml:space="preserve">igital </w:t>
      </w:r>
      <w:r>
        <w:t>a</w:t>
      </w:r>
      <w:r w:rsidRPr="0060430F">
        <w:t>ssets. This inability to seek redress for such errors or thefts could negatively impact an investment in the Fund.</w:t>
      </w:r>
    </w:p>
    <w:p w14:paraId="2D38589A" w14:textId="77777777" w:rsidR="0060430F" w:rsidRPr="0060430F" w:rsidRDefault="0060430F" w:rsidP="0060430F">
      <w:pPr>
        <w:pStyle w:val="Level2Number"/>
        <w:rPr>
          <w:b/>
          <w:bCs/>
        </w:rPr>
      </w:pPr>
      <w:r w:rsidRPr="0060430F">
        <w:rPr>
          <w:b/>
          <w:bCs/>
        </w:rPr>
        <w:t>Computer Malware, Viruses, Bugs</w:t>
      </w:r>
    </w:p>
    <w:p w14:paraId="65ABDAFE" w14:textId="205BC84B" w:rsidR="0060430F" w:rsidRPr="0060430F" w:rsidRDefault="0060430F" w:rsidP="0060430F">
      <w:pPr>
        <w:pStyle w:val="Level3Number"/>
        <w:numPr>
          <w:ilvl w:val="0"/>
          <w:numId w:val="0"/>
        </w:numPr>
        <w:ind w:left="720"/>
      </w:pPr>
      <w:r w:rsidRPr="0060430F">
        <w:t xml:space="preserve">Computer malware, viruses, hacking, and phishing attacks are increasingly common in the </w:t>
      </w:r>
      <w:r>
        <w:t>d</w:t>
      </w:r>
      <w:r w:rsidRPr="0060430F">
        <w:t xml:space="preserve">igital </w:t>
      </w:r>
      <w:r>
        <w:t>a</w:t>
      </w:r>
      <w:r w:rsidRPr="0060430F">
        <w:t>ssets industry and can affect the systems or technologies of exchanges. Such software may contain undetected errors, bugs, or vulnerabilities, some of which may only be discovered after release. These errors or design flaws can result in negative user experiences, delays in product introductions or enhancements, and measurement or billing errors. Any discovered errors, bugs, or defects could lead to damages, loss of users, loss of revenue, or liability for damages, all of which could adversely impact business and financial results, potentially causing significant losses for the Fund.</w:t>
      </w:r>
    </w:p>
    <w:p w14:paraId="0CFD3451" w14:textId="77777777" w:rsidR="0060430F" w:rsidRPr="0060430F" w:rsidRDefault="0060430F" w:rsidP="0060430F">
      <w:pPr>
        <w:pStyle w:val="Level2Number"/>
        <w:rPr>
          <w:b/>
          <w:bCs/>
        </w:rPr>
      </w:pPr>
      <w:r w:rsidRPr="0060430F">
        <w:rPr>
          <w:b/>
          <w:bCs/>
        </w:rPr>
        <w:t>Forks and Airdrops</w:t>
      </w:r>
    </w:p>
    <w:p w14:paraId="4D6D07A9" w14:textId="1FCE5C6C" w:rsidR="0060430F" w:rsidRPr="0060430F" w:rsidRDefault="0060430F" w:rsidP="0060430F">
      <w:pPr>
        <w:pStyle w:val="Level3Number"/>
        <w:numPr>
          <w:ilvl w:val="0"/>
          <w:numId w:val="0"/>
        </w:numPr>
        <w:ind w:left="720"/>
      </w:pPr>
      <w:r w:rsidRPr="0060430F">
        <w:t xml:space="preserve">The blockchain code for a </w:t>
      </w:r>
      <w:proofErr w:type="gramStart"/>
      <w:r>
        <w:t>d</w:t>
      </w:r>
      <w:r w:rsidRPr="0060430F">
        <w:t xml:space="preserve">igital </w:t>
      </w:r>
      <w:r>
        <w:t>a</w:t>
      </w:r>
      <w:r w:rsidRPr="0060430F">
        <w:t>ssets</w:t>
      </w:r>
      <w:proofErr w:type="gramEnd"/>
      <w:r w:rsidRPr="0060430F">
        <w:t xml:space="preserve"> may be split, resulting in two different </w:t>
      </w:r>
      <w:r>
        <w:t>d</w:t>
      </w:r>
      <w:r w:rsidRPr="0060430F">
        <w:t xml:space="preserve">igital </w:t>
      </w:r>
      <w:r>
        <w:t>a</w:t>
      </w:r>
      <w:r w:rsidRPr="0060430F">
        <w:t xml:space="preserve">ssets: one that remains unchanged and a new </w:t>
      </w:r>
      <w:r>
        <w:t>d</w:t>
      </w:r>
      <w:r w:rsidRPr="0060430F">
        <w:t xml:space="preserve">igital </w:t>
      </w:r>
      <w:r>
        <w:t>a</w:t>
      </w:r>
      <w:r w:rsidRPr="0060430F">
        <w:t>ssets with altered code (a "</w:t>
      </w:r>
      <w:r w:rsidRPr="0060430F">
        <w:rPr>
          <w:b/>
          <w:bCs/>
        </w:rPr>
        <w:t>Hard Fork</w:t>
      </w:r>
      <w:r w:rsidRPr="0060430F">
        <w:t>"). Additionally, new Digital Assets may be distributed via "airdrops" to holders of certain existing Digital Assets (an "</w:t>
      </w:r>
      <w:r w:rsidRPr="0060430F">
        <w:rPr>
          <w:b/>
          <w:bCs/>
        </w:rPr>
        <w:t>Airdrop</w:t>
      </w:r>
      <w:r w:rsidRPr="0060430F">
        <w:t xml:space="preserve">"). These new </w:t>
      </w:r>
      <w:r>
        <w:t>d</w:t>
      </w:r>
      <w:r w:rsidRPr="0060430F">
        <w:t xml:space="preserve">igital </w:t>
      </w:r>
      <w:r>
        <w:t>a</w:t>
      </w:r>
      <w:r w:rsidRPr="0060430F">
        <w:t xml:space="preserve">ssets are provided involuntarily and without consideration. A Hard Fork or Airdrop can affect the value of the original </w:t>
      </w:r>
      <w:r>
        <w:t>d</w:t>
      </w:r>
      <w:r w:rsidRPr="0060430F">
        <w:t xml:space="preserve">igital </w:t>
      </w:r>
      <w:r>
        <w:t>a</w:t>
      </w:r>
      <w:r w:rsidRPr="0060430F">
        <w:t xml:space="preserve">ssets. The </w:t>
      </w:r>
      <w:r>
        <w:t>Fund</w:t>
      </w:r>
      <w:r w:rsidRPr="0060430F">
        <w:t xml:space="preserve"> Manager, at its discretion, may choose to claim the new </w:t>
      </w:r>
      <w:r>
        <w:t>d</w:t>
      </w:r>
      <w:r w:rsidRPr="0060430F">
        <w:t xml:space="preserve">igital </w:t>
      </w:r>
      <w:r>
        <w:t>a</w:t>
      </w:r>
      <w:r w:rsidRPr="0060430F">
        <w:t xml:space="preserve">ssets resulting from a Hard Fork or Airdrop. However, various exchanges, custodians, wallets, or other storage solutions may not support such Hard Forks or Airdrops, or they may only do so after a significant delay. Furthermore, the </w:t>
      </w:r>
      <w:r>
        <w:t>Fund</w:t>
      </w:r>
      <w:r w:rsidRPr="0060430F">
        <w:t xml:space="preserve"> Manager may not have systems in place to monitor or participate in Hard Forks or Airdrops. As a result, the Fund may not receive any new </w:t>
      </w:r>
      <w:r>
        <w:t>d</w:t>
      </w:r>
      <w:r w:rsidRPr="0060430F">
        <w:t xml:space="preserve">igital </w:t>
      </w:r>
      <w:r>
        <w:t>a</w:t>
      </w:r>
      <w:r w:rsidRPr="0060430F">
        <w:t>ssets created from a Hard Fork or Airdrop, potentially losing any value associated with those Digital Assets.</w:t>
      </w:r>
    </w:p>
    <w:p w14:paraId="356511B6" w14:textId="62F88445" w:rsidR="0074460B" w:rsidRPr="005942B2" w:rsidRDefault="0074460B" w:rsidP="0074460B">
      <w:pPr>
        <w:pStyle w:val="Level2Number"/>
        <w:rPr>
          <w:b/>
          <w:bCs/>
        </w:rPr>
      </w:pPr>
      <w:r>
        <w:rPr>
          <w:b/>
          <w:bCs/>
        </w:rPr>
        <w:t>Data Breach Risks</w:t>
      </w:r>
    </w:p>
    <w:p w14:paraId="041F7CB5" w14:textId="230DDC80" w:rsidR="0074460B" w:rsidRDefault="0074460B" w:rsidP="0074460B">
      <w:pPr>
        <w:pStyle w:val="Level3Number"/>
        <w:numPr>
          <w:ilvl w:val="0"/>
          <w:numId w:val="0"/>
        </w:numPr>
        <w:ind w:left="720"/>
      </w:pPr>
      <w:r>
        <w:t>The Fund maintains significant amounts of data surrounding trades, trade execution, as well as customer data. A significant data breach may have wide reaching adverse effects, including trading losses and loss of reputation, which may negatively impact the Fund's core business.</w:t>
      </w:r>
    </w:p>
    <w:p w14:paraId="4A3C9166" w14:textId="3D54106B" w:rsidR="0074460B" w:rsidRPr="005942B2" w:rsidRDefault="0074460B" w:rsidP="0074460B">
      <w:pPr>
        <w:pStyle w:val="Level2Number"/>
        <w:rPr>
          <w:b/>
          <w:bCs/>
        </w:rPr>
      </w:pPr>
      <w:r>
        <w:rPr>
          <w:b/>
          <w:bCs/>
        </w:rPr>
        <w:t>Environmental and Social Risks</w:t>
      </w:r>
    </w:p>
    <w:p w14:paraId="1AF88DC4" w14:textId="3742C5CE" w:rsidR="0074460B" w:rsidRPr="005942B2" w:rsidRDefault="0074460B" w:rsidP="0074460B">
      <w:pPr>
        <w:pStyle w:val="Level3Number"/>
        <w:numPr>
          <w:ilvl w:val="0"/>
          <w:numId w:val="0"/>
        </w:numPr>
        <w:ind w:left="720"/>
      </w:pPr>
      <w:r>
        <w:t>Depending on the specific technology, the applied technology of smart contracts on blockchains by the Fund and the Tokenizer can be energy intensive systems and thus might be susceptible to existing and potential regulation and/or costs with the goal to limit energy consumption and might not be in line with the sustainability expectations in the market. Therefore, to the extent the Fund's and Tokenizer's products using such energy intensive systems, demand in such products could decline or regulatory burdens may make the use of such energy intensive technologies unattractive for the Issuer causing the Issuer either to restructure the specific products by substituting the energy intensive technologies through similar, but more energy efficient technologies, or to terminate such products.</w:t>
      </w:r>
    </w:p>
    <w:p w14:paraId="731F0E0D" w14:textId="77777777" w:rsidR="0074460B" w:rsidRDefault="0016365A" w:rsidP="0074460B">
      <w:pPr>
        <w:pStyle w:val="Level2Number"/>
        <w:rPr>
          <w:b/>
          <w:bCs/>
        </w:rPr>
      </w:pPr>
      <w:r w:rsidRPr="005942B2">
        <w:rPr>
          <w:b/>
          <w:bCs/>
        </w:rPr>
        <w:t>Cyber Security</w:t>
      </w:r>
    </w:p>
    <w:p w14:paraId="2641346A" w14:textId="77777777" w:rsidR="0074460B" w:rsidRDefault="0016365A" w:rsidP="0074460B">
      <w:pPr>
        <w:pStyle w:val="Level3Number"/>
        <w:rPr>
          <w:b/>
          <w:bCs/>
        </w:rPr>
      </w:pPr>
      <w:r w:rsidRPr="005942B2">
        <w:lastRenderedPageBreak/>
        <w:t>The Fund</w:t>
      </w:r>
      <w:r w:rsidR="00420B32">
        <w:t xml:space="preserve"> </w:t>
      </w:r>
      <w:r w:rsidRPr="005942B2">
        <w:t>and their service providers may be subject to operational and information security risks resulting from cyberattacks. Cyberattacks include, among other things, stealing or corrupting data maintained online or digitally, denial of service attacks on websites, the unauthorised release of confidential information and various other forms of cybersecurity breaches. Cyberattacks affecting the Fund</w:t>
      </w:r>
      <w:r w:rsidR="00420B32">
        <w:t xml:space="preserve"> </w:t>
      </w:r>
      <w:r w:rsidRPr="005942B2">
        <w:t>and its service providers may adversely impact the Fund. For instance, cyberattacks may interfere with the processing of investor transactions, impact the ability to calculate the Net Asset Value, cause the release of private investor information or other confidential information, impede trading, subject the Fund</w:t>
      </w:r>
      <w:r w:rsidR="00420B32">
        <w:t xml:space="preserve"> </w:t>
      </w:r>
      <w:r w:rsidRPr="005942B2">
        <w:t>and its service providers to regulatory fines and/or financial losses and cause reputational damage. Similar types of cybersecurity risks are also present for other market participants, which may have material adverse consequences for the Fund</w:t>
      </w:r>
      <w:r w:rsidR="00420B32">
        <w:t xml:space="preserve"> </w:t>
      </w:r>
      <w:r w:rsidRPr="005942B2">
        <w:t>and may cause the Fund’s</w:t>
      </w:r>
      <w:r w:rsidR="00995052">
        <w:t xml:space="preserve"> </w:t>
      </w:r>
      <w:r w:rsidRPr="005942B2">
        <w:t>investments to lose value. The Fund</w:t>
      </w:r>
      <w:r w:rsidR="00420B32">
        <w:t xml:space="preserve"> </w:t>
      </w:r>
      <w:r w:rsidRPr="005942B2">
        <w:t>and its service providers may incur additional costs relating to cybersecurity preparations, and there can be no guarantee that such preparations, though taken in good faith and reasonably designed to safeguard the Fund’s, the Fund Manager’s and others’ informational systems, would be successful at preventing such attacks. Cyberattacks are viewed as an emerging risk and the scope of the risk and related mitigation techniques are not yet fully understood and are subject to continuing change.</w:t>
      </w:r>
    </w:p>
    <w:p w14:paraId="4B5C1A7A" w14:textId="55BD1535" w:rsidR="0074460B" w:rsidRPr="0074460B" w:rsidRDefault="0074460B" w:rsidP="0074460B">
      <w:pPr>
        <w:pStyle w:val="Level3Number"/>
      </w:pPr>
      <w:r w:rsidRPr="0074460B">
        <w:t xml:space="preserve">The </w:t>
      </w:r>
      <w:r w:rsidR="000229DC">
        <w:t>Fund</w:t>
      </w:r>
      <w:r w:rsidRPr="0074460B">
        <w:t xml:space="preserve"> deals with tokenized securities registered online and therefore is susceptible to</w:t>
      </w:r>
      <w:r>
        <w:t xml:space="preserve"> o</w:t>
      </w:r>
      <w:r w:rsidRPr="0074460B">
        <w:t>perational, information security and related “cyber” risks. In general, cyber incidents can result</w:t>
      </w:r>
      <w:r>
        <w:t xml:space="preserve"> </w:t>
      </w:r>
      <w:r w:rsidRPr="0074460B">
        <w:t>from deliberate attacks or unintentional events. Cyber incidents include, but are not limited to,</w:t>
      </w:r>
      <w:r>
        <w:t xml:space="preserve"> </w:t>
      </w:r>
      <w:r w:rsidRPr="0074460B">
        <w:t>gaining unauthorized access to digital systems (e.g., through “hacking” or malicious software</w:t>
      </w:r>
      <w:r>
        <w:t xml:space="preserve"> </w:t>
      </w:r>
      <w:r w:rsidRPr="0074460B">
        <w:t>coding) for purposes of misappropriating assets or sensitive information, corrupting data, or</w:t>
      </w:r>
      <w:r>
        <w:t xml:space="preserve"> </w:t>
      </w:r>
      <w:r w:rsidRPr="0074460B">
        <w:t>causing operational disruption. Cyberattacks may also be carried out in a manner that does not</w:t>
      </w:r>
      <w:r>
        <w:t xml:space="preserve"> </w:t>
      </w:r>
      <w:r w:rsidRPr="0074460B">
        <w:t>require gaining unauthorized access, such as causing denial-of-service attacks on websites (i.e.,</w:t>
      </w:r>
      <w:r>
        <w:t xml:space="preserve"> </w:t>
      </w:r>
      <w:r w:rsidRPr="0074460B">
        <w:t>efforts to make network services unavailable to intended users).</w:t>
      </w:r>
      <w:r>
        <w:t xml:space="preserve"> </w:t>
      </w:r>
      <w:r w:rsidRPr="0074460B">
        <w:t>Cybersecurity failures by, or breaches of, the systems have the ability to cause disruptions and</w:t>
      </w:r>
      <w:r>
        <w:t xml:space="preserve"> </w:t>
      </w:r>
      <w:r w:rsidRPr="0074460B">
        <w:t>impact business operations, potentially resulting in: financial losses, interference with the business activity, disclosure of confidential information, impediments to trading, submission of erroneous trades or erroneous creation or redemption orders, the inability of the company or its service providers to transact business, violations of applicable privacy and other laws, regulatory fines, penalties, reputational damage, reimbursement or other compensation costs, or additional compliance costs. The investors may lose their investment as direct or indirect consequence of such cybersecurity related risks.</w:t>
      </w:r>
    </w:p>
    <w:p w14:paraId="42B8D8C8" w14:textId="77777777" w:rsidR="000229DC" w:rsidRDefault="000229DC" w:rsidP="000229DC">
      <w:pPr>
        <w:pStyle w:val="Level2Number"/>
        <w:rPr>
          <w:b/>
          <w:bCs/>
        </w:rPr>
      </w:pPr>
      <w:r>
        <w:rPr>
          <w:b/>
          <w:bCs/>
        </w:rPr>
        <w:t>Software Risks</w:t>
      </w:r>
    </w:p>
    <w:p w14:paraId="0494415A" w14:textId="4F1E8BDC" w:rsidR="0016365A" w:rsidRPr="000229DC" w:rsidRDefault="000229DC" w:rsidP="000229DC">
      <w:pPr>
        <w:pStyle w:val="Level3Number"/>
        <w:rPr>
          <w:b/>
          <w:bCs/>
        </w:rPr>
      </w:pPr>
      <w:r>
        <w:t>T</w:t>
      </w:r>
      <w:r w:rsidRPr="000229DC">
        <w:rPr>
          <w:rFonts w:cs="Calibri"/>
        </w:rPr>
        <w:t>okenized securities may be susceptible to bugs and smart contract related risks, that might lea</w:t>
      </w:r>
      <w:r>
        <w:rPr>
          <w:rFonts w:cs="Calibri"/>
        </w:rPr>
        <w:t xml:space="preserve">d </w:t>
      </w:r>
      <w:r w:rsidRPr="000229DC">
        <w:rPr>
          <w:rFonts w:cs="Calibri"/>
        </w:rPr>
        <w:t>to investors losing control over their assets, or a breach that might cause an unintended minting of</w:t>
      </w:r>
      <w:r>
        <w:rPr>
          <w:rFonts w:cs="Calibri"/>
        </w:rPr>
        <w:t xml:space="preserve"> </w:t>
      </w:r>
      <w:r w:rsidRPr="000229DC">
        <w:rPr>
          <w:rFonts w:cs="Calibri"/>
        </w:rPr>
        <w:t xml:space="preserve">the asset, that ultimately lead to the dilution of the investors' holdings. Other risks include </w:t>
      </w:r>
      <w:r>
        <w:rPr>
          <w:rFonts w:cs="Calibri"/>
        </w:rPr>
        <w:t xml:space="preserve">Fund's </w:t>
      </w:r>
      <w:r w:rsidRPr="000229DC">
        <w:rPr>
          <w:rFonts w:cs="Calibri"/>
        </w:rPr>
        <w:t xml:space="preserve">back-office software bugs which may lead to mishandling of the </w:t>
      </w:r>
      <w:r>
        <w:rPr>
          <w:rFonts w:cs="Calibri"/>
        </w:rPr>
        <w:t>investments</w:t>
      </w:r>
      <w:r w:rsidRPr="000229DC">
        <w:rPr>
          <w:rFonts w:cs="Calibri"/>
        </w:rPr>
        <w:t xml:space="preserve"> or a loss of significant</w:t>
      </w:r>
      <w:r>
        <w:rPr>
          <w:rFonts w:cs="Calibri"/>
        </w:rPr>
        <w:t xml:space="preserve"> </w:t>
      </w:r>
      <w:r w:rsidRPr="000229DC">
        <w:rPr>
          <w:rFonts w:cs="Calibri"/>
        </w:rPr>
        <w:t>tokens reserve, which may cause turbulence in the secondary market. By nature, attacks on</w:t>
      </w:r>
      <w:r>
        <w:rPr>
          <w:rFonts w:cs="Calibri"/>
        </w:rPr>
        <w:t xml:space="preserve"> </w:t>
      </w:r>
      <w:r w:rsidRPr="000229DC">
        <w:rPr>
          <w:rFonts w:cs="Calibri"/>
        </w:rPr>
        <w:t>blockchain infrastructure can cause much more damage than for a centralized service, as the</w:t>
      </w:r>
      <w:r>
        <w:rPr>
          <w:rFonts w:cs="Calibri"/>
        </w:rPr>
        <w:t xml:space="preserve"> </w:t>
      </w:r>
      <w:r w:rsidRPr="000229DC">
        <w:rPr>
          <w:rFonts w:cs="Calibri"/>
        </w:rPr>
        <w:t>blockchain is an objective layer, and cannot be stopped or rolled back</w:t>
      </w:r>
      <w:r>
        <w:rPr>
          <w:rFonts w:cs="Calibri"/>
        </w:rPr>
        <w:t>.</w:t>
      </w:r>
    </w:p>
    <w:p w14:paraId="7B241200" w14:textId="53229861" w:rsidR="000229DC" w:rsidRPr="000229DC" w:rsidRDefault="000229DC" w:rsidP="000229DC">
      <w:pPr>
        <w:pStyle w:val="Level3Number"/>
        <w:numPr>
          <w:ilvl w:val="0"/>
          <w:numId w:val="0"/>
        </w:numPr>
        <w:rPr>
          <w:b/>
          <w:bCs/>
        </w:rPr>
      </w:pPr>
      <w:r w:rsidRPr="000229DC">
        <w:rPr>
          <w:rFonts w:cs="Calibri"/>
          <w:b/>
          <w:bCs/>
        </w:rPr>
        <w:t>Tax Risks</w:t>
      </w:r>
    </w:p>
    <w:p w14:paraId="57D60A23" w14:textId="17471A58" w:rsidR="000229DC" w:rsidRPr="005942B2" w:rsidRDefault="000A0F2C" w:rsidP="000229DC">
      <w:pPr>
        <w:pStyle w:val="Level2Number"/>
        <w:rPr>
          <w:rFonts w:eastAsia="MS Mincho"/>
          <w:b/>
          <w:bCs/>
          <w:lang w:bidi="ar-KW"/>
        </w:rPr>
      </w:pPr>
      <w:r>
        <w:rPr>
          <w:b/>
          <w:bCs/>
        </w:rPr>
        <w:t xml:space="preserve">General </w:t>
      </w:r>
      <w:r w:rsidR="000229DC" w:rsidRPr="0016365A">
        <w:rPr>
          <w:b/>
          <w:bCs/>
        </w:rPr>
        <w:t>Tax</w:t>
      </w:r>
      <w:r w:rsidR="000229DC" w:rsidRPr="005942B2">
        <w:rPr>
          <w:rFonts w:eastAsia="MS Mincho"/>
          <w:b/>
          <w:bCs/>
          <w:lang w:bidi="ar-KW"/>
        </w:rPr>
        <w:t xml:space="preserve"> Risks</w:t>
      </w:r>
    </w:p>
    <w:p w14:paraId="494FD2C1" w14:textId="77777777" w:rsidR="000229DC" w:rsidRPr="005942B2" w:rsidRDefault="000229DC" w:rsidP="000229DC">
      <w:pPr>
        <w:pStyle w:val="Level3Number"/>
        <w:rPr>
          <w:color w:val="000000"/>
        </w:rPr>
      </w:pPr>
      <w:r w:rsidRPr="005942B2">
        <w:t xml:space="preserve">Applicable taxation laws, treaties, rules or regulations or the interpretation thereof may always change, possibly with retrospective effect.  Changes in the tax treatment of investments and special purpose vehicles and unanticipated withholding taxes or other taxes may affect anticipated cash flows.  The Fund may use a variety of investment structures to </w:t>
      </w:r>
      <w:r w:rsidRPr="005942B2">
        <w:lastRenderedPageBreak/>
        <w:t xml:space="preserve">obtain exposure to the underlying assets on a </w:t>
      </w:r>
      <w:proofErr w:type="gramStart"/>
      <w:r w:rsidRPr="005942B2">
        <w:t>case by case</w:t>
      </w:r>
      <w:proofErr w:type="gramEnd"/>
      <w:r w:rsidRPr="005942B2">
        <w:t xml:space="preserve"> basis.  Whilst the Fund</w:t>
      </w:r>
      <w:r>
        <w:t xml:space="preserve"> </w:t>
      </w:r>
      <w:r w:rsidRPr="005942B2">
        <w:t>will seek to enhance the tax efficiency of such investment structures in their jurisdictions of incorporation, the tax laws, however, may change or be subject to differing interpretations. Accordingly, the tax consequences of a particular investment or structure may change after the investment has been made or the structure has been established with the result that the Fund</w:t>
      </w:r>
      <w:r>
        <w:t xml:space="preserve"> </w:t>
      </w:r>
      <w:r w:rsidRPr="005942B2">
        <w:t>could become subject to taxation (including by way of withholding tax) in respect of its investments and the income, profit and gains derived therefrom in a manner or to an extent that is not currently anticipated.  Any such change may have an adverse effect on the net asset value of the Fund</w:t>
      </w:r>
      <w:r>
        <w:t xml:space="preserve"> Tokens</w:t>
      </w:r>
      <w:r w:rsidRPr="005942B2">
        <w:t xml:space="preserve"> and </w:t>
      </w:r>
      <w:r>
        <w:t>their</w:t>
      </w:r>
      <w:r w:rsidRPr="005942B2">
        <w:t xml:space="preserve"> interests.</w:t>
      </w:r>
    </w:p>
    <w:p w14:paraId="1655217D" w14:textId="77777777" w:rsidR="000229DC" w:rsidRPr="005942B2" w:rsidRDefault="000229DC" w:rsidP="000229DC">
      <w:pPr>
        <w:pStyle w:val="Level2Number"/>
        <w:rPr>
          <w:b/>
          <w:bCs/>
        </w:rPr>
      </w:pPr>
      <w:r w:rsidRPr="005942B2">
        <w:rPr>
          <w:b/>
          <w:bCs/>
        </w:rPr>
        <w:t>Tax Reporting and Withholding</w:t>
      </w:r>
    </w:p>
    <w:p w14:paraId="5AF2770D" w14:textId="77777777" w:rsidR="000229DC" w:rsidRPr="005942B2" w:rsidRDefault="000229DC" w:rsidP="000229DC">
      <w:pPr>
        <w:pStyle w:val="Level3Number"/>
        <w:numPr>
          <w:ilvl w:val="0"/>
          <w:numId w:val="0"/>
        </w:numPr>
        <w:ind w:left="720"/>
        <w:rPr>
          <w:color w:val="000000"/>
        </w:rPr>
      </w:pPr>
      <w:r w:rsidRPr="005942B2">
        <w:t>Certain countries have adopted tax laws which require reporting and/or withholding in certain circumstances in connection with an investor’s acquisition, holding and/or disposal of an investment in the Fund.  Depending on the nature of the requirements, these tax laws impose (or may impose in the future) reporting and/or withholding obligations.  To the extent that the Fund</w:t>
      </w:r>
      <w:r>
        <w:t xml:space="preserve"> </w:t>
      </w:r>
      <w:r w:rsidRPr="005942B2">
        <w:t xml:space="preserve">determines to incur the costs of compliance with tax or other laws, the Directors may require that investors whose acquisition, holding or disposal triggers the compliance requirements to share </w:t>
      </w:r>
      <w:r w:rsidRPr="005942B2">
        <w:rPr>
          <w:i/>
        </w:rPr>
        <w:t>pro rata</w:t>
      </w:r>
      <w:r w:rsidRPr="005942B2">
        <w:t xml:space="preserve"> the cost to the Fund of doing so with other such investors</w:t>
      </w:r>
      <w:r w:rsidRPr="005942B2">
        <w:rPr>
          <w:color w:val="000000"/>
        </w:rPr>
        <w:t>.</w:t>
      </w:r>
    </w:p>
    <w:p w14:paraId="62266223" w14:textId="77777777" w:rsidR="0016365A" w:rsidRDefault="0016365A" w:rsidP="00B23A6C">
      <w:pPr>
        <w:pStyle w:val="BodyText"/>
        <w:rPr>
          <w:rFonts w:cs="Calibri"/>
        </w:rPr>
      </w:pPr>
    </w:p>
    <w:p w14:paraId="75B2AD26" w14:textId="77777777" w:rsidR="00914954" w:rsidRPr="004126E5" w:rsidRDefault="00914954" w:rsidP="00B23A6C">
      <w:pPr>
        <w:pStyle w:val="BodyText"/>
        <w:rPr>
          <w:rFonts w:cs="Calibri"/>
        </w:rPr>
      </w:pPr>
    </w:p>
    <w:p w14:paraId="4805784D" w14:textId="3F635139" w:rsidR="00B23A6C" w:rsidRPr="004126E5" w:rsidRDefault="00B23A6C" w:rsidP="00D7738D">
      <w:pPr>
        <w:pStyle w:val="CentredHeadingCaps"/>
        <w:rPr>
          <w:rFonts w:cs="Calibri"/>
        </w:rPr>
      </w:pPr>
      <w:r w:rsidRPr="004126E5">
        <w:rPr>
          <w:rFonts w:cs="Calibri"/>
        </w:rPr>
        <w:t xml:space="preserve">THE FOREGOING RISK FACTORS </w:t>
      </w:r>
      <w:r w:rsidR="00D7738D">
        <w:rPr>
          <w:rFonts w:cs="Calibri"/>
        </w:rPr>
        <w:t xml:space="preserve">AND CONFLICTS </w:t>
      </w:r>
      <w:r w:rsidRPr="004126E5">
        <w:rPr>
          <w:rFonts w:cs="Calibri"/>
        </w:rPr>
        <w:t xml:space="preserve">DO NOT PURPORT TO BE A COMPLETE EXPLANATION OF THE RISKS INVOLVED IN THIS OFFERING. POTENTIAL INVESTORS MUST READ THE ENTIRE </w:t>
      </w:r>
      <w:r w:rsidR="00D7738D">
        <w:rPr>
          <w:rFonts w:cs="Calibri"/>
        </w:rPr>
        <w:t>PROSPECTUS</w:t>
      </w:r>
      <w:r w:rsidRPr="004126E5">
        <w:rPr>
          <w:rFonts w:cs="Calibri"/>
        </w:rPr>
        <w:t xml:space="preserve"> INCLUDING ALL ATTACHMENTS AND MUST CONSULT THEIR OWN PROFESSIONAL ADVISORS, BEFORE DECIDING TO INVEST IN THE FUND.</w:t>
      </w:r>
    </w:p>
    <w:p w14:paraId="2E6F59D1" w14:textId="19AAB960" w:rsidR="00C5757D" w:rsidRPr="004126E5" w:rsidRDefault="00C5757D" w:rsidP="00BD3A56">
      <w:pPr>
        <w:pStyle w:val="BodyText"/>
        <w:rPr>
          <w:rFonts w:cs="Calibri"/>
        </w:rPr>
      </w:pPr>
      <w:r w:rsidRPr="004126E5">
        <w:rPr>
          <w:rFonts w:cs="Calibri"/>
        </w:rPr>
        <w:br w:type="page"/>
      </w:r>
    </w:p>
    <w:p w14:paraId="1583C160" w14:textId="48AEE655" w:rsidR="00B23A6C" w:rsidRPr="004126E5" w:rsidRDefault="00B847C0" w:rsidP="00DF494E">
      <w:pPr>
        <w:pStyle w:val="Level1Heading"/>
      </w:pPr>
      <w:bookmarkStart w:id="25" w:name="_Toc169612963"/>
      <w:r>
        <w:lastRenderedPageBreak/>
        <w:t xml:space="preserve">POTENTIAL </w:t>
      </w:r>
      <w:r w:rsidR="0016365A">
        <w:t xml:space="preserve">CONFLICTS OF INTEREST, </w:t>
      </w:r>
      <w:r w:rsidR="00B23A6C" w:rsidRPr="004126E5">
        <w:t xml:space="preserve">CERTAIN LEGAL, </w:t>
      </w:r>
      <w:r w:rsidR="00D85975">
        <w:t xml:space="preserve">TOKENISATION, </w:t>
      </w:r>
      <w:r w:rsidR="00B23A6C" w:rsidRPr="004126E5">
        <w:t>TAX AND REGULATORY MATTERS</w:t>
      </w:r>
      <w:bookmarkEnd w:id="25"/>
    </w:p>
    <w:p w14:paraId="0282010E" w14:textId="559E3FD8" w:rsidR="0016365A" w:rsidRDefault="0016365A" w:rsidP="00DF494E">
      <w:pPr>
        <w:pStyle w:val="Level2Heading"/>
      </w:pPr>
      <w:r>
        <w:t>Conflicts of Interest</w:t>
      </w:r>
    </w:p>
    <w:p w14:paraId="273C6C97" w14:textId="77777777" w:rsidR="0016365A" w:rsidRPr="00D7738D" w:rsidRDefault="0016365A" w:rsidP="0016365A">
      <w:pPr>
        <w:pStyle w:val="Level3Number"/>
      </w:pPr>
      <w:r>
        <w:t xml:space="preserve">General </w:t>
      </w:r>
    </w:p>
    <w:p w14:paraId="541E9ECB" w14:textId="77777777" w:rsidR="0016365A" w:rsidRDefault="0016365A" w:rsidP="0016365A">
      <w:pPr>
        <w:pStyle w:val="Level4Number"/>
      </w:pPr>
      <w:r w:rsidRPr="00914954">
        <w:rPr>
          <w:szCs w:val="24"/>
        </w:rPr>
        <w:t>The</w:t>
      </w:r>
      <w:r>
        <w:t xml:space="preserve"> Fund Manager shall take reasonable steps to ensure that in any dealing in relation to the Fund assets such dealings do not give rise to a conflict of interest.</w:t>
      </w:r>
    </w:p>
    <w:p w14:paraId="35BEA598" w14:textId="77777777" w:rsidR="0016365A" w:rsidRDefault="0016365A" w:rsidP="0016365A">
      <w:pPr>
        <w:pStyle w:val="Level4Number"/>
      </w:pPr>
      <w:r w:rsidRPr="00914954">
        <w:t xml:space="preserve">Where a conflict of interest arises, whether in dealings with Affected Persons </w:t>
      </w:r>
      <w:r>
        <w:t xml:space="preserve">(as defined in the ADGM Rules) </w:t>
      </w:r>
      <w:r w:rsidRPr="00914954">
        <w:t xml:space="preserve">or otherwise, the Fund Manager must disclose to the </w:t>
      </w:r>
      <w:r>
        <w:t>Token Holders</w:t>
      </w:r>
      <w:r w:rsidRPr="00914954">
        <w:t xml:space="preserve"> the nature of the conflict and how the conflict will be managed. </w:t>
      </w:r>
    </w:p>
    <w:p w14:paraId="6DE37582" w14:textId="77777777" w:rsidR="0016365A" w:rsidRPr="00914954" w:rsidRDefault="0016365A" w:rsidP="0016365A">
      <w:pPr>
        <w:pStyle w:val="Level4Number"/>
      </w:pPr>
      <w:r>
        <w:rPr>
          <w:szCs w:val="24"/>
        </w:rPr>
        <w:t>The Fund can give no assurance that conflicts of interest will be resolved in favour of the Token Holders. Whenever an actual conflict of interest exists or arises the Board will endeavour to ensure that it is resolved fairly and may take such actions as may be necessary or appropriate to diminish or avoid the conflict. By acquiring Tokens, each Token Holder will be deemed to have acknowledged the existence of such actual and potential conflicts of interest, to have consented thereto, and to have waived any claim in respect of the existence of any such conflict of interest.</w:t>
      </w:r>
    </w:p>
    <w:p w14:paraId="4A1FEC65" w14:textId="77777777" w:rsidR="0016365A" w:rsidRPr="004126E5" w:rsidRDefault="0016365A" w:rsidP="0016365A">
      <w:pPr>
        <w:pStyle w:val="Level3Number"/>
      </w:pPr>
      <w:r>
        <w:t xml:space="preserve">Fund Manager </w:t>
      </w:r>
      <w:r w:rsidRPr="004126E5">
        <w:t>and Directors</w:t>
      </w:r>
    </w:p>
    <w:p w14:paraId="45BCB562" w14:textId="4ED56169" w:rsidR="0016365A" w:rsidRPr="004126E5" w:rsidRDefault="006A1543" w:rsidP="0016365A">
      <w:pPr>
        <w:pStyle w:val="BodyText3"/>
        <w:ind w:left="720"/>
        <w:rPr>
          <w:rFonts w:cs="Calibri"/>
        </w:rPr>
      </w:pPr>
      <w:r w:rsidRPr="004126E5">
        <w:rPr>
          <w:rFonts w:cs="Calibri"/>
        </w:rPr>
        <w:t xml:space="preserve">The </w:t>
      </w:r>
      <w:r>
        <w:rPr>
          <w:rFonts w:cs="Calibri"/>
        </w:rPr>
        <w:t>Fund</w:t>
      </w:r>
      <w:r w:rsidRPr="004126E5">
        <w:rPr>
          <w:rFonts w:cs="Calibri"/>
        </w:rPr>
        <w:t xml:space="preserve"> is </w:t>
      </w:r>
      <w:proofErr w:type="gramStart"/>
      <w:r w:rsidRPr="004126E5">
        <w:rPr>
          <w:rFonts w:cs="Calibri"/>
        </w:rPr>
        <w:t>wholly-owned</w:t>
      </w:r>
      <w:proofErr w:type="gramEnd"/>
      <w:r w:rsidRPr="004126E5">
        <w:rPr>
          <w:rFonts w:cs="Calibri"/>
        </w:rPr>
        <w:t xml:space="preserve"> by the Fund Manager. Each of </w:t>
      </w:r>
      <w:r>
        <w:rPr>
          <w:rFonts w:cs="Calibri"/>
          <w:color w:val="000000"/>
          <w:szCs w:val="22"/>
        </w:rPr>
        <w:t xml:space="preserve">Dr Ryan </w:t>
      </w:r>
      <w:proofErr w:type="spellStart"/>
      <w:r>
        <w:rPr>
          <w:rFonts w:cs="Calibri"/>
          <w:color w:val="000000"/>
          <w:szCs w:val="22"/>
        </w:rPr>
        <w:t>Lemand</w:t>
      </w:r>
      <w:proofErr w:type="spellEnd"/>
      <w:r>
        <w:rPr>
          <w:rFonts w:cs="Calibri"/>
          <w:color w:val="000000"/>
          <w:szCs w:val="22"/>
        </w:rPr>
        <w:t xml:space="preserve"> and Guy Hurley are directors of the Fund Manager, and the Fund Manager, </w:t>
      </w:r>
      <w:proofErr w:type="spellStart"/>
      <w:r>
        <w:rPr>
          <w:rFonts w:cs="Calibri"/>
          <w:color w:val="000000"/>
          <w:szCs w:val="22"/>
        </w:rPr>
        <w:t>Neovision</w:t>
      </w:r>
      <w:proofErr w:type="spellEnd"/>
      <w:r>
        <w:rPr>
          <w:rFonts w:cs="Calibri"/>
          <w:color w:val="000000"/>
          <w:szCs w:val="22"/>
        </w:rPr>
        <w:t xml:space="preserve"> Wealth Management Limited, </w:t>
      </w:r>
      <w:r w:rsidR="00ED00F3">
        <w:rPr>
          <w:rFonts w:cs="Calibri"/>
          <w:color w:val="000000"/>
          <w:szCs w:val="22"/>
        </w:rPr>
        <w:t xml:space="preserve">Robert Daykin, Dominik Scheiner, and Stuart </w:t>
      </w:r>
      <w:proofErr w:type="spellStart"/>
      <w:r w:rsidR="00ED00F3">
        <w:rPr>
          <w:rFonts w:cs="Calibri"/>
          <w:color w:val="000000"/>
          <w:szCs w:val="22"/>
        </w:rPr>
        <w:t>Pinnington</w:t>
      </w:r>
      <w:proofErr w:type="spellEnd"/>
      <w:r w:rsidR="00ED00F3">
        <w:rPr>
          <w:rFonts w:cs="Calibri"/>
          <w:color w:val="000000"/>
          <w:szCs w:val="22"/>
        </w:rPr>
        <w:t xml:space="preserve"> are</w:t>
      </w:r>
      <w:r>
        <w:rPr>
          <w:rFonts w:cs="Calibri"/>
          <w:color w:val="000000"/>
          <w:szCs w:val="22"/>
        </w:rPr>
        <w:t xml:space="preserve"> the director</w:t>
      </w:r>
      <w:r w:rsidR="00ED00F3">
        <w:rPr>
          <w:rFonts w:cs="Calibri"/>
          <w:color w:val="000000"/>
          <w:szCs w:val="22"/>
        </w:rPr>
        <w:t>s</w:t>
      </w:r>
      <w:r>
        <w:rPr>
          <w:rFonts w:cs="Calibri"/>
          <w:color w:val="000000"/>
          <w:szCs w:val="22"/>
        </w:rPr>
        <w:t xml:space="preserve"> of the Fund</w:t>
      </w:r>
      <w:r w:rsidR="0016365A">
        <w:rPr>
          <w:rFonts w:cs="Calibri"/>
        </w:rPr>
        <w:t>.</w:t>
      </w:r>
    </w:p>
    <w:p w14:paraId="73875082" w14:textId="77777777" w:rsidR="0016365A" w:rsidRPr="004126E5" w:rsidRDefault="0016365A" w:rsidP="0016365A">
      <w:pPr>
        <w:pStyle w:val="Level3Number"/>
      </w:pPr>
      <w:r w:rsidRPr="004126E5">
        <w:t>Other Activities of Management</w:t>
      </w:r>
    </w:p>
    <w:p w14:paraId="29287840" w14:textId="635F7FE6" w:rsidR="0016365A" w:rsidRDefault="0016365A" w:rsidP="0016365A">
      <w:pPr>
        <w:pStyle w:val="BodyText3"/>
        <w:ind w:left="720"/>
        <w:rPr>
          <w:rFonts w:cs="Calibri"/>
        </w:rPr>
      </w:pPr>
      <w:r w:rsidRPr="004126E5">
        <w:rPr>
          <w:rFonts w:cs="Calibri"/>
        </w:rPr>
        <w:t>The Fund Manager</w:t>
      </w:r>
      <w:r>
        <w:rPr>
          <w:rFonts w:cs="Calibri"/>
        </w:rPr>
        <w:t xml:space="preserve"> </w:t>
      </w:r>
      <w:r w:rsidRPr="004126E5">
        <w:rPr>
          <w:rFonts w:cs="Calibri"/>
        </w:rPr>
        <w:t xml:space="preserve">and its shareholders, directors, officers, employees, agents and </w:t>
      </w:r>
      <w:r w:rsidR="00C54A74">
        <w:rPr>
          <w:rFonts w:cs="Calibri"/>
        </w:rPr>
        <w:t>Affiliate</w:t>
      </w:r>
      <w:r w:rsidRPr="004126E5">
        <w:rPr>
          <w:rFonts w:cs="Calibri"/>
        </w:rPr>
        <w:t>s (“</w:t>
      </w:r>
      <w:r w:rsidRPr="004126E5">
        <w:rPr>
          <w:rFonts w:cs="Calibri"/>
          <w:b/>
          <w:bCs/>
        </w:rPr>
        <w:t>Interested Parties</w:t>
      </w:r>
      <w:r w:rsidRPr="004126E5">
        <w:rPr>
          <w:rFonts w:cs="Calibri"/>
        </w:rPr>
        <w:t>” and each an “</w:t>
      </w:r>
      <w:r w:rsidRPr="004126E5">
        <w:rPr>
          <w:rFonts w:cs="Calibri"/>
          <w:b/>
          <w:bCs/>
        </w:rPr>
        <w:t>Interested Party</w:t>
      </w:r>
      <w:r w:rsidRPr="004126E5">
        <w:rPr>
          <w:rFonts w:cs="Calibri"/>
        </w:rPr>
        <w:t xml:space="preserve">”) may be involved in other financial, investment or other professional activities which may on occasion cause conflicts of interest with the Fund. Except as expressly provided in this Prospectus and/or the </w:t>
      </w:r>
      <w:r>
        <w:rPr>
          <w:rFonts w:cs="Calibri"/>
        </w:rPr>
        <w:t>Articles</w:t>
      </w:r>
      <w:r w:rsidRPr="004126E5">
        <w:rPr>
          <w:rFonts w:cs="Calibri"/>
        </w:rPr>
        <w:t>, an Interested Party may engage, and shall not be restricted from engaging in, any activity whatsoever permitted by applicable law including but not limited to (a) establishing, managing and/or advising other investment funds, including those having investment objectives similar to those of the Fund</w:t>
      </w:r>
      <w:r>
        <w:rPr>
          <w:rFonts w:cs="Calibri"/>
        </w:rPr>
        <w:t>,</w:t>
      </w:r>
      <w:r w:rsidRPr="004126E5">
        <w:rPr>
          <w:rFonts w:cs="Calibri"/>
        </w:rPr>
        <w:t xml:space="preserve"> (b) serving as directors, officers or agents of other investment funds</w:t>
      </w:r>
      <w:r>
        <w:rPr>
          <w:rFonts w:cs="Calibri"/>
        </w:rPr>
        <w:t>,</w:t>
      </w:r>
      <w:r w:rsidRPr="004126E5">
        <w:rPr>
          <w:rFonts w:cs="Calibri"/>
        </w:rPr>
        <w:t xml:space="preserve"> (c) alone or in conjunction with others, acting as manager or adviser of any company in which the Fund has a legal or beneficial interest on such terms as it deems appropriate</w:t>
      </w:r>
      <w:r>
        <w:rPr>
          <w:rFonts w:cs="Calibri"/>
        </w:rPr>
        <w:t xml:space="preserve">, </w:t>
      </w:r>
      <w:r w:rsidRPr="004126E5">
        <w:rPr>
          <w:rFonts w:cs="Calibri"/>
        </w:rPr>
        <w:t>(d) buying, holding and dealing in any investments for its own account, notwithstanding that similar investments may be held by the Fund</w:t>
      </w:r>
      <w:r>
        <w:rPr>
          <w:rFonts w:cs="Calibri"/>
        </w:rPr>
        <w:t>,</w:t>
      </w:r>
      <w:r w:rsidRPr="004126E5">
        <w:rPr>
          <w:rFonts w:cs="Calibri"/>
        </w:rPr>
        <w:t xml:space="preserve"> (e) investing in the Fund</w:t>
      </w:r>
      <w:r>
        <w:rPr>
          <w:rFonts w:cs="Calibri"/>
        </w:rPr>
        <w:t>,</w:t>
      </w:r>
      <w:r w:rsidRPr="004126E5">
        <w:rPr>
          <w:rFonts w:cs="Calibri"/>
        </w:rPr>
        <w:t xml:space="preserve"> (f) contracting or entering into any financial or other transaction with any investor in the Fund or with any entity, any of whose securities are held by, or for the account of, the Fund</w:t>
      </w:r>
      <w:r>
        <w:rPr>
          <w:rFonts w:cs="Calibri"/>
        </w:rPr>
        <w:t xml:space="preserve">, </w:t>
      </w:r>
      <w:r w:rsidRPr="004126E5">
        <w:rPr>
          <w:rFonts w:cs="Calibri"/>
        </w:rPr>
        <w:t xml:space="preserve">and (g) receiving commissions and benefits which it may negotiate in relation to any sale or purchase of any investments of the Fund affected by it, for the account of the Fund and which may or may not be for the benefit of the Fund. </w:t>
      </w:r>
      <w:r>
        <w:rPr>
          <w:rFonts w:cs="Calibri"/>
        </w:rPr>
        <w:t xml:space="preserve">  Notwithstanding the foregoing, it is acknowledged that the Fund Manager provides fund platform services to third parties, which is not connected to the Fund, and nothing herein shall prevent the Fund Manager from operating or managing any collective investment scheme or similar that may have an </w:t>
      </w:r>
      <w:r w:rsidRPr="004126E5">
        <w:rPr>
          <w:rFonts w:cs="Calibri"/>
        </w:rPr>
        <w:t>investment objective</w:t>
      </w:r>
      <w:r>
        <w:rPr>
          <w:rFonts w:cs="Calibri"/>
        </w:rPr>
        <w:t xml:space="preserve"> the same or</w:t>
      </w:r>
      <w:r w:rsidRPr="004126E5">
        <w:rPr>
          <w:rFonts w:cs="Calibri"/>
        </w:rPr>
        <w:t xml:space="preserve"> </w:t>
      </w:r>
      <w:proofErr w:type="gramStart"/>
      <w:r w:rsidRPr="004126E5">
        <w:rPr>
          <w:rFonts w:cs="Calibri"/>
        </w:rPr>
        <w:t>similar to</w:t>
      </w:r>
      <w:proofErr w:type="gramEnd"/>
      <w:r w:rsidRPr="004126E5">
        <w:rPr>
          <w:rFonts w:cs="Calibri"/>
        </w:rPr>
        <w:t xml:space="preserve"> those of the Fund</w:t>
      </w:r>
      <w:r>
        <w:rPr>
          <w:rFonts w:cs="Calibri"/>
        </w:rPr>
        <w:t>.</w:t>
      </w:r>
    </w:p>
    <w:p w14:paraId="1099EDD1" w14:textId="77777777" w:rsidR="0016365A" w:rsidRPr="004126E5" w:rsidRDefault="0016365A" w:rsidP="0016365A">
      <w:pPr>
        <w:pStyle w:val="Level3Number"/>
      </w:pPr>
      <w:r w:rsidRPr="004126E5">
        <w:t>Diverse Investor Group</w:t>
      </w:r>
    </w:p>
    <w:p w14:paraId="7C453819" w14:textId="77777777" w:rsidR="0016365A" w:rsidRPr="004126E5" w:rsidRDefault="0016365A" w:rsidP="0016365A">
      <w:pPr>
        <w:pStyle w:val="BodyText3"/>
        <w:ind w:left="720"/>
        <w:rPr>
          <w:rFonts w:cs="Calibri"/>
        </w:rPr>
      </w:pPr>
      <w:r>
        <w:rPr>
          <w:rFonts w:cs="Calibri"/>
        </w:rPr>
        <w:lastRenderedPageBreak/>
        <w:t>Token Holders</w:t>
      </w:r>
      <w:r w:rsidRPr="004126E5">
        <w:rPr>
          <w:rFonts w:cs="Calibri"/>
        </w:rPr>
        <w:t xml:space="preserve"> may have conflicting investment, tax or other interests with respect to their </w:t>
      </w:r>
      <w:r>
        <w:rPr>
          <w:rFonts w:cs="Calibri"/>
        </w:rPr>
        <w:t>i</w:t>
      </w:r>
      <w:r w:rsidRPr="004126E5">
        <w:rPr>
          <w:rFonts w:cs="Calibri"/>
        </w:rPr>
        <w:t xml:space="preserve">nvestments in the Fund. The conflicting interests of individual </w:t>
      </w:r>
      <w:r>
        <w:rPr>
          <w:rFonts w:cs="Calibri"/>
        </w:rPr>
        <w:t>Token Holders</w:t>
      </w:r>
      <w:r w:rsidRPr="004126E5">
        <w:rPr>
          <w:rFonts w:cs="Calibri"/>
        </w:rPr>
        <w:t xml:space="preserve"> may relate to, or arise from, among other things, the nature of Investments made by the Fund, the structuring or the acquisition of Investments, the timing of disposition of Investments and the tax status of each of the </w:t>
      </w:r>
      <w:r>
        <w:rPr>
          <w:rFonts w:cs="Calibri"/>
        </w:rPr>
        <w:t>Tokens</w:t>
      </w:r>
      <w:r w:rsidRPr="004126E5">
        <w:rPr>
          <w:rFonts w:cs="Calibri"/>
        </w:rPr>
        <w:t xml:space="preserve">. </w:t>
      </w:r>
      <w:proofErr w:type="gramStart"/>
      <w:r w:rsidRPr="004126E5">
        <w:rPr>
          <w:rFonts w:cs="Calibri"/>
        </w:rPr>
        <w:t>As a consequence</w:t>
      </w:r>
      <w:proofErr w:type="gramEnd"/>
      <w:r w:rsidRPr="004126E5">
        <w:rPr>
          <w:rFonts w:cs="Calibri"/>
        </w:rPr>
        <w:t xml:space="preserve">, conflicts of interest may arise in connection with decisions made by the Fund Manager, including with respect to the nature or structuring of Investments, which may be more beneficial for one </w:t>
      </w:r>
      <w:r>
        <w:rPr>
          <w:rFonts w:cs="Calibri"/>
        </w:rPr>
        <w:t>Token Holder</w:t>
      </w:r>
      <w:r w:rsidRPr="004126E5">
        <w:rPr>
          <w:rFonts w:cs="Calibri"/>
        </w:rPr>
        <w:t xml:space="preserve"> than for another </w:t>
      </w:r>
      <w:r>
        <w:rPr>
          <w:rFonts w:cs="Calibri"/>
        </w:rPr>
        <w:t>Token Holder</w:t>
      </w:r>
      <w:r w:rsidRPr="004126E5">
        <w:rPr>
          <w:rFonts w:cs="Calibri"/>
        </w:rPr>
        <w:t xml:space="preserve">. In selecting and structuring investments appropriate for the Fund, the Fund Manager will consider the investment and tax objectives of the </w:t>
      </w:r>
      <w:r>
        <w:rPr>
          <w:rFonts w:cs="Calibri"/>
        </w:rPr>
        <w:t>Token Holders</w:t>
      </w:r>
      <w:r w:rsidRPr="004126E5">
        <w:rPr>
          <w:rFonts w:cs="Calibri"/>
        </w:rPr>
        <w:t xml:space="preserve"> as a whole, and not the investment, tax or other objectives of any </w:t>
      </w:r>
      <w:r>
        <w:rPr>
          <w:rFonts w:cs="Calibri"/>
        </w:rPr>
        <w:t>Token Holder</w:t>
      </w:r>
      <w:r w:rsidRPr="004126E5">
        <w:rPr>
          <w:rFonts w:cs="Calibri"/>
        </w:rPr>
        <w:t xml:space="preserve"> individually.</w:t>
      </w:r>
    </w:p>
    <w:p w14:paraId="06861ABC" w14:textId="77777777" w:rsidR="0016365A" w:rsidRDefault="0016365A" w:rsidP="0016365A">
      <w:pPr>
        <w:pStyle w:val="Level3Number"/>
      </w:pPr>
      <w:r w:rsidRPr="004126E5">
        <w:t>Restrictions on Related Party Transactions</w:t>
      </w:r>
    </w:p>
    <w:p w14:paraId="61BC5751" w14:textId="77777777" w:rsidR="0016365A" w:rsidRDefault="0016365A" w:rsidP="0016365A">
      <w:pPr>
        <w:pStyle w:val="Level4Number"/>
      </w:pPr>
      <w:r w:rsidRPr="00D7738D">
        <w:t xml:space="preserve">A Fund Manager must not </w:t>
      </w:r>
      <w:proofErr w:type="gramStart"/>
      <w:r w:rsidRPr="00D7738D">
        <w:t>enter into</w:t>
      </w:r>
      <w:proofErr w:type="gramEnd"/>
      <w:r w:rsidRPr="00D7738D">
        <w:t xml:space="preserve"> a </w:t>
      </w:r>
      <w:r>
        <w:t>t</w:t>
      </w:r>
      <w:r w:rsidRPr="00D7738D">
        <w:t xml:space="preserve">ransaction in respect of the Fund </w:t>
      </w:r>
      <w:r>
        <w:t>assets</w:t>
      </w:r>
      <w:r w:rsidRPr="00D7738D">
        <w:t xml:space="preserve"> with an Affected Person unless it is in accordance with the requirements i</w:t>
      </w:r>
      <w:r>
        <w:t xml:space="preserve">n the FSRA </w:t>
      </w:r>
      <w:r w:rsidRPr="00D7738D">
        <w:t>Rule</w:t>
      </w:r>
      <w:r>
        <w:t>s</w:t>
      </w:r>
      <w:r w:rsidRPr="00D7738D">
        <w:t xml:space="preserve">. </w:t>
      </w:r>
    </w:p>
    <w:p w14:paraId="116EA109" w14:textId="77777777" w:rsidR="0016365A" w:rsidRPr="00D7738D" w:rsidRDefault="0016365A" w:rsidP="0016365A">
      <w:pPr>
        <w:pStyle w:val="Level4Number"/>
      </w:pPr>
      <w:r w:rsidRPr="00DF22AB">
        <w:rPr>
          <w:szCs w:val="22"/>
        </w:rPr>
        <w:t>A Fund Manager must ensure that any transaction in respect of the Fund assets undertaken with an Affected Person is on terms at least as favourable to the Fund as any comparable arrangement on normal commercial terms negotiated at arm's length with an independent third party.</w:t>
      </w:r>
    </w:p>
    <w:p w14:paraId="5C248B3E" w14:textId="77777777" w:rsidR="0016365A" w:rsidRPr="00D7738D" w:rsidRDefault="0016365A" w:rsidP="0016365A">
      <w:pPr>
        <w:pStyle w:val="Level4Number"/>
      </w:pPr>
      <w:r w:rsidRPr="00DF22AB">
        <w:rPr>
          <w:szCs w:val="22"/>
        </w:rPr>
        <w:t xml:space="preserve">The Fund Manager must, before </w:t>
      </w:r>
      <w:proofErr w:type="gramStart"/>
      <w:r w:rsidRPr="00DF22AB">
        <w:rPr>
          <w:szCs w:val="22"/>
        </w:rPr>
        <w:t>entering into</w:t>
      </w:r>
      <w:proofErr w:type="gramEnd"/>
      <w:r w:rsidRPr="00DF22AB">
        <w:rPr>
          <w:szCs w:val="22"/>
        </w:rPr>
        <w:t xml:space="preserve"> a transaction with an Affected Person, either: </w:t>
      </w:r>
    </w:p>
    <w:p w14:paraId="00FEB37A" w14:textId="77777777" w:rsidR="0016365A" w:rsidRPr="00D7738D" w:rsidRDefault="0016365A" w:rsidP="0016365A">
      <w:pPr>
        <w:pStyle w:val="Level5Number"/>
      </w:pPr>
      <w:r w:rsidRPr="00DF22AB">
        <w:rPr>
          <w:szCs w:val="22"/>
        </w:rPr>
        <w:t xml:space="preserve">obtain written confirmation from a person who meets the suitability criteria for persons providing oversight functions to Public Funds (as defined in the FSRA Rules) that the terms of such transaction are being conducted on at least an arm's length basis; or </w:t>
      </w:r>
    </w:p>
    <w:p w14:paraId="4637FCA7" w14:textId="77777777" w:rsidR="0016365A" w:rsidRPr="00D7738D" w:rsidRDefault="0016365A" w:rsidP="0016365A">
      <w:pPr>
        <w:pStyle w:val="Level5Number"/>
      </w:pPr>
      <w:r w:rsidRPr="00DF22AB">
        <w:rPr>
          <w:szCs w:val="22"/>
        </w:rPr>
        <w:t xml:space="preserve">obtain Token Holder's prior approval by approval of holders of at least 75% of the Tokens in respect of the proposed Transaction if the total consideration or value of the transaction is 5% or more of the most recent net asset value of the Fund as disclosed in the latest published audited accounts of the Fund. </w:t>
      </w:r>
    </w:p>
    <w:p w14:paraId="6CE46862" w14:textId="77777777" w:rsidR="0016365A" w:rsidRPr="00D7738D" w:rsidRDefault="0016365A" w:rsidP="0016365A">
      <w:pPr>
        <w:pStyle w:val="Level4Number"/>
      </w:pPr>
      <w:r w:rsidRPr="00DF22AB">
        <w:rPr>
          <w:szCs w:val="22"/>
        </w:rPr>
        <w:t xml:space="preserve">The Fund Manager must: </w:t>
      </w:r>
    </w:p>
    <w:p w14:paraId="11857B7A" w14:textId="77777777" w:rsidR="0016365A" w:rsidRPr="00D7738D" w:rsidRDefault="0016365A" w:rsidP="0016365A">
      <w:pPr>
        <w:pStyle w:val="Level5Number"/>
      </w:pPr>
      <w:r w:rsidRPr="00DF22AB">
        <w:rPr>
          <w:szCs w:val="22"/>
        </w:rPr>
        <w:t xml:space="preserve">if prior Token Holder approval is required under the FSRA Rules, issue a notice to Token Holders providing details of the results of the Token Holder's voting at the general meeting as soon as practicable after the </w:t>
      </w:r>
      <w:proofErr w:type="gramStart"/>
      <w:r w:rsidRPr="00DF22AB">
        <w:rPr>
          <w:szCs w:val="22"/>
        </w:rPr>
        <w:t>meeting;</w:t>
      </w:r>
      <w:proofErr w:type="gramEnd"/>
      <w:r w:rsidRPr="00DF22AB">
        <w:rPr>
          <w:szCs w:val="22"/>
        </w:rPr>
        <w:t xml:space="preserve"> </w:t>
      </w:r>
    </w:p>
    <w:p w14:paraId="48DEC52C" w14:textId="77777777" w:rsidR="0016365A" w:rsidRPr="00D7738D" w:rsidRDefault="0016365A" w:rsidP="0016365A">
      <w:pPr>
        <w:pStyle w:val="Level5Number"/>
      </w:pPr>
      <w:r w:rsidRPr="00DF22AB">
        <w:rPr>
          <w:szCs w:val="22"/>
        </w:rPr>
        <w:t xml:space="preserve">include </w:t>
      </w:r>
      <w:proofErr w:type="gramStart"/>
      <w:r w:rsidRPr="00DF22AB">
        <w:rPr>
          <w:szCs w:val="22"/>
        </w:rPr>
        <w:t>a brief summary</w:t>
      </w:r>
      <w:proofErr w:type="gramEnd"/>
      <w:r w:rsidRPr="00DF22AB">
        <w:rPr>
          <w:szCs w:val="22"/>
        </w:rPr>
        <w:t xml:space="preserve"> of the transaction with the Affected Person Transactions in the Fund's next published interim or annual report; and </w:t>
      </w:r>
    </w:p>
    <w:p w14:paraId="253EF843" w14:textId="77777777" w:rsidR="0016365A" w:rsidRPr="006A1543" w:rsidRDefault="0016365A" w:rsidP="0016365A">
      <w:pPr>
        <w:pStyle w:val="Level5Number"/>
      </w:pPr>
      <w:r w:rsidRPr="00DF22AB">
        <w:rPr>
          <w:szCs w:val="22"/>
        </w:rPr>
        <w:t>include, in the annual report of the Fund, the total value of any transaction with the Affected Person, their nature and the identities of the Affected Persons with whom such transactions were made. Where there is no such transaction conducted during the financial year covered by the annual report, an appropriate negative statement to that effect must be made in the annual report.</w:t>
      </w:r>
    </w:p>
    <w:p w14:paraId="6221C0CB" w14:textId="5A60C567" w:rsidR="00B847C0" w:rsidRPr="004126E5" w:rsidRDefault="00B847C0" w:rsidP="00B847C0">
      <w:pPr>
        <w:pStyle w:val="Level3Number"/>
      </w:pPr>
      <w:r>
        <w:t xml:space="preserve">Fund Management and </w:t>
      </w:r>
      <w:proofErr w:type="spellStart"/>
      <w:r>
        <w:t>Tokenisor</w:t>
      </w:r>
      <w:proofErr w:type="spellEnd"/>
      <w:r>
        <w:t xml:space="preserve"> Fees</w:t>
      </w:r>
    </w:p>
    <w:p w14:paraId="19796B9A" w14:textId="7D91C7FE" w:rsidR="00B847C0" w:rsidRDefault="00B847C0" w:rsidP="00B847C0">
      <w:pPr>
        <w:pStyle w:val="Level4Number"/>
        <w:rPr>
          <w:rFonts w:cs="Calibri"/>
        </w:rPr>
      </w:pPr>
      <w:r w:rsidRPr="004126E5">
        <w:rPr>
          <w:rFonts w:cs="Calibri"/>
        </w:rPr>
        <w:t xml:space="preserve">The </w:t>
      </w:r>
      <w:r>
        <w:rPr>
          <w:rFonts w:cs="Calibri"/>
        </w:rPr>
        <w:t xml:space="preserve">Fund Manager is not entitled to any management fees in connection with the management of the Fund.  However, the </w:t>
      </w:r>
      <w:proofErr w:type="spellStart"/>
      <w:r>
        <w:rPr>
          <w:rFonts w:cs="Calibri"/>
        </w:rPr>
        <w:t>Tokenisor</w:t>
      </w:r>
      <w:proofErr w:type="spellEnd"/>
      <w:r>
        <w:rPr>
          <w:rFonts w:cs="Calibri"/>
        </w:rPr>
        <w:t xml:space="preserve"> (itself or through an </w:t>
      </w:r>
      <w:r w:rsidR="00C54A74">
        <w:rPr>
          <w:rFonts w:cs="Calibri"/>
        </w:rPr>
        <w:t>Affiliate</w:t>
      </w:r>
      <w:r>
        <w:rPr>
          <w:rFonts w:cs="Calibri"/>
        </w:rPr>
        <w:t xml:space="preserve">) has </w:t>
      </w:r>
      <w:r>
        <w:rPr>
          <w:rFonts w:cs="Calibri"/>
        </w:rPr>
        <w:lastRenderedPageBreak/>
        <w:t xml:space="preserve">agreed to pay the Fund </w:t>
      </w:r>
      <w:r w:rsidRPr="00B847C0">
        <w:rPr>
          <w:szCs w:val="22"/>
        </w:rPr>
        <w:t>Manager</w:t>
      </w:r>
      <w:r>
        <w:rPr>
          <w:rFonts w:cs="Calibri"/>
        </w:rPr>
        <w:t xml:space="preserve"> a fee in connection it acting as fund manager</w:t>
      </w:r>
      <w:r w:rsidR="000B5517">
        <w:rPr>
          <w:rFonts w:cs="Calibri"/>
        </w:rPr>
        <w:t>, which will be borne by it and not the Fund or the Token Holders</w:t>
      </w:r>
      <w:r>
        <w:rPr>
          <w:rFonts w:cs="Calibri"/>
        </w:rPr>
        <w:t>.</w:t>
      </w:r>
    </w:p>
    <w:p w14:paraId="058373D4" w14:textId="2933EB1D" w:rsidR="00B847C0" w:rsidRDefault="009118FB" w:rsidP="00B847C0">
      <w:pPr>
        <w:pStyle w:val="Level4Number"/>
        <w:rPr>
          <w:rFonts w:cs="Calibri"/>
        </w:rPr>
      </w:pPr>
      <w:r>
        <w:rPr>
          <w:rFonts w:cs="Calibri"/>
        </w:rPr>
        <w:t xml:space="preserve">Neither the </w:t>
      </w:r>
      <w:proofErr w:type="spellStart"/>
      <w:r>
        <w:rPr>
          <w:rFonts w:cs="Calibri"/>
        </w:rPr>
        <w:t>Tokenisor</w:t>
      </w:r>
      <w:proofErr w:type="spellEnd"/>
      <w:r>
        <w:rPr>
          <w:rFonts w:cs="Calibri"/>
        </w:rPr>
        <w:t xml:space="preserve"> or the Technical Advisor shall be paid any fees by the Fund in connection with </w:t>
      </w:r>
      <w:r w:rsidRPr="004E77E1">
        <w:rPr>
          <w:rFonts w:cs="Calibri"/>
        </w:rPr>
        <w:t xml:space="preserve">the technical and technical services provided to the Fund, including the tokenisation services, until such time as the AUM of the Fund is US$100,000,000 whereupon the </w:t>
      </w:r>
      <w:proofErr w:type="spellStart"/>
      <w:r w:rsidRPr="004E77E1">
        <w:rPr>
          <w:rFonts w:cs="Calibri"/>
        </w:rPr>
        <w:t>Tokenisor</w:t>
      </w:r>
      <w:proofErr w:type="spellEnd"/>
      <w:r w:rsidRPr="004E77E1">
        <w:rPr>
          <w:rFonts w:cs="Calibri"/>
        </w:rPr>
        <w:t xml:space="preserve"> shall be entitled to a </w:t>
      </w:r>
      <w:r>
        <w:rPr>
          <w:rFonts w:cs="Calibri"/>
        </w:rPr>
        <w:t>T</w:t>
      </w:r>
      <w:r w:rsidRPr="004E77E1">
        <w:rPr>
          <w:rFonts w:cs="Calibri"/>
        </w:rPr>
        <w:t xml:space="preserve">echnical </w:t>
      </w:r>
      <w:r>
        <w:rPr>
          <w:rFonts w:cs="Calibri"/>
        </w:rPr>
        <w:t>S</w:t>
      </w:r>
      <w:r w:rsidRPr="004E77E1">
        <w:rPr>
          <w:rFonts w:cs="Calibri"/>
        </w:rPr>
        <w:t xml:space="preserve">ervices </w:t>
      </w:r>
      <w:r>
        <w:rPr>
          <w:rFonts w:cs="Calibri"/>
        </w:rPr>
        <w:t>F</w:t>
      </w:r>
      <w:r w:rsidRPr="004E77E1">
        <w:rPr>
          <w:rFonts w:cs="Calibri"/>
        </w:rPr>
        <w:t xml:space="preserve">ee payable by the Fund of 0.1% of </w:t>
      </w:r>
      <w:r>
        <w:rPr>
          <w:rFonts w:cs="Calibri"/>
        </w:rPr>
        <w:t>the Fund’s Net Asset Value</w:t>
      </w:r>
      <w:r w:rsidRPr="004E77E1">
        <w:rPr>
          <w:rFonts w:cs="Calibri"/>
        </w:rPr>
        <w:t xml:space="preserve">, </w:t>
      </w:r>
      <w:r>
        <w:rPr>
          <w:rFonts w:cs="Calibri"/>
        </w:rPr>
        <w:t xml:space="preserve">calculated daily and </w:t>
      </w:r>
      <w:r w:rsidRPr="004E77E1">
        <w:rPr>
          <w:rFonts w:cs="Calibri"/>
        </w:rPr>
        <w:t>payable</w:t>
      </w:r>
      <w:r>
        <w:rPr>
          <w:rFonts w:cs="Calibri"/>
        </w:rPr>
        <w:t xml:space="preserve"> quarterly in arrears</w:t>
      </w:r>
      <w:r w:rsidR="006D4C23">
        <w:rPr>
          <w:rFonts w:cs="Calibri"/>
        </w:rPr>
        <w:t>.</w:t>
      </w:r>
    </w:p>
    <w:p w14:paraId="7BC6DC8E" w14:textId="77777777" w:rsidR="0016365A" w:rsidRPr="004126E5" w:rsidRDefault="0016365A" w:rsidP="0016365A">
      <w:pPr>
        <w:pStyle w:val="Level3Number"/>
      </w:pPr>
      <w:r w:rsidRPr="004126E5">
        <w:t>Side Letters</w:t>
      </w:r>
    </w:p>
    <w:p w14:paraId="170838F6" w14:textId="636BC76C" w:rsidR="0016365A" w:rsidRPr="004126E5" w:rsidRDefault="0016365A" w:rsidP="0016365A">
      <w:pPr>
        <w:pStyle w:val="BodyText3"/>
        <w:ind w:left="720"/>
        <w:rPr>
          <w:rFonts w:cs="Calibri"/>
        </w:rPr>
      </w:pPr>
      <w:r w:rsidRPr="004126E5">
        <w:rPr>
          <w:rFonts w:cs="Calibri"/>
        </w:rPr>
        <w:t>The Fund may enter into other written agreements (“</w:t>
      </w:r>
      <w:r w:rsidRPr="004126E5">
        <w:rPr>
          <w:rFonts w:cs="Calibri"/>
          <w:b/>
          <w:bCs/>
        </w:rPr>
        <w:t>Side</w:t>
      </w:r>
      <w:r w:rsidRPr="004126E5">
        <w:rPr>
          <w:rFonts w:cs="Calibri"/>
        </w:rPr>
        <w:t xml:space="preserve"> </w:t>
      </w:r>
      <w:r w:rsidRPr="004126E5">
        <w:rPr>
          <w:rFonts w:cs="Calibri"/>
          <w:b/>
          <w:bCs/>
        </w:rPr>
        <w:t>Letters</w:t>
      </w:r>
      <w:r w:rsidRPr="004126E5">
        <w:rPr>
          <w:rFonts w:cs="Calibri"/>
        </w:rPr>
        <w:t xml:space="preserve">”) with one or more </w:t>
      </w:r>
      <w:r>
        <w:rPr>
          <w:rFonts w:cs="Calibri"/>
        </w:rPr>
        <w:t>Token Holders</w:t>
      </w:r>
      <w:r w:rsidRPr="004126E5">
        <w:rPr>
          <w:rFonts w:cs="Calibri"/>
        </w:rPr>
        <w:t xml:space="preserve">. These Side Letters may entitle a </w:t>
      </w:r>
      <w:r>
        <w:rPr>
          <w:rFonts w:cs="Calibri"/>
        </w:rPr>
        <w:t>Token Holder</w:t>
      </w:r>
      <w:r w:rsidRPr="004126E5">
        <w:rPr>
          <w:rFonts w:cs="Calibri"/>
        </w:rPr>
        <w:t xml:space="preserve"> to make an investment in the Fund on terms other than those described </w:t>
      </w:r>
      <w:proofErr w:type="gramStart"/>
      <w:r w:rsidRPr="004126E5">
        <w:rPr>
          <w:rFonts w:cs="Calibri"/>
        </w:rPr>
        <w:t>herein</w:t>
      </w:r>
      <w:proofErr w:type="gramEnd"/>
      <w:r w:rsidRPr="004126E5">
        <w:rPr>
          <w:rFonts w:cs="Calibri"/>
        </w:rPr>
        <w:t xml:space="preserve"> and which may be more favourable than those offered to any other </w:t>
      </w:r>
      <w:r>
        <w:rPr>
          <w:rFonts w:cs="Calibri"/>
        </w:rPr>
        <w:t>Token Holders</w:t>
      </w:r>
      <w:r w:rsidRPr="004126E5">
        <w:rPr>
          <w:rFonts w:cs="Calibri"/>
        </w:rPr>
        <w:t xml:space="preserve">.  Notwithstanding the entry into Side Letters, the Fund Manager shall ensure that </w:t>
      </w:r>
      <w:r w:rsidR="006D4C23">
        <w:rPr>
          <w:rFonts w:cs="Calibri"/>
        </w:rPr>
        <w:t>Token Holder</w:t>
      </w:r>
      <w:r w:rsidRPr="004126E5">
        <w:rPr>
          <w:rFonts w:cs="Calibri"/>
        </w:rPr>
        <w:t xml:space="preserve">s are treated fairly </w:t>
      </w:r>
      <w:proofErr w:type="gramStart"/>
      <w:r w:rsidRPr="004126E5">
        <w:rPr>
          <w:rFonts w:cs="Calibri"/>
        </w:rPr>
        <w:t>in light of</w:t>
      </w:r>
      <w:proofErr w:type="gramEnd"/>
      <w:r w:rsidRPr="004126E5">
        <w:rPr>
          <w:rFonts w:cs="Calibri"/>
        </w:rPr>
        <w:t xml:space="preserve"> their respective commitment and strategic value to the Fund.</w:t>
      </w:r>
    </w:p>
    <w:p w14:paraId="317DF522" w14:textId="77777777" w:rsidR="0016365A" w:rsidRPr="004126E5" w:rsidRDefault="0016365A" w:rsidP="0016365A">
      <w:pPr>
        <w:pStyle w:val="Level3Number"/>
      </w:pPr>
      <w:r w:rsidRPr="004126E5">
        <w:t>Legal Counsel</w:t>
      </w:r>
    </w:p>
    <w:p w14:paraId="4831E2EE" w14:textId="77777777" w:rsidR="0016365A" w:rsidRPr="00DF22AB" w:rsidRDefault="0016365A" w:rsidP="0016365A">
      <w:pPr>
        <w:pStyle w:val="Level4Number"/>
        <w:rPr>
          <w:rFonts w:cs="Calibri"/>
        </w:rPr>
      </w:pPr>
      <w:proofErr w:type="spellStart"/>
      <w:r w:rsidRPr="00DF22AB">
        <w:rPr>
          <w:rFonts w:cs="Calibri"/>
        </w:rPr>
        <w:t>Addleshaw</w:t>
      </w:r>
      <w:proofErr w:type="spellEnd"/>
      <w:r w:rsidRPr="00DF22AB">
        <w:rPr>
          <w:rFonts w:cs="Calibri"/>
        </w:rPr>
        <w:t xml:space="preserve"> Goddard (Middle East) LLP currently acts as legal counsel to the Fund and the Fund Manager in connection with the organisation of the Fund and in the preparation of this Prospectus.  </w:t>
      </w:r>
      <w:proofErr w:type="spellStart"/>
      <w:r w:rsidRPr="00DF22AB">
        <w:rPr>
          <w:rFonts w:cs="Calibri"/>
        </w:rPr>
        <w:t>Addleshaw</w:t>
      </w:r>
      <w:proofErr w:type="spellEnd"/>
      <w:r w:rsidRPr="00DF22AB">
        <w:rPr>
          <w:rFonts w:cs="Calibri"/>
        </w:rPr>
        <w:t xml:space="preserve"> Goddard (Middle East) LLP may continue to serve in such capacity in the </w:t>
      </w:r>
      <w:proofErr w:type="gramStart"/>
      <w:r w:rsidRPr="00DF22AB">
        <w:rPr>
          <w:rFonts w:cs="Calibri"/>
        </w:rPr>
        <w:t>future, but</w:t>
      </w:r>
      <w:proofErr w:type="gramEnd"/>
      <w:r w:rsidRPr="00DF22AB">
        <w:rPr>
          <w:rFonts w:cs="Calibri"/>
        </w:rPr>
        <w:t xml:space="preserve"> has not assumed any obligation to update this Prospectus. </w:t>
      </w:r>
      <w:proofErr w:type="spellStart"/>
      <w:r w:rsidRPr="00DF22AB">
        <w:rPr>
          <w:rFonts w:cs="Calibri"/>
        </w:rPr>
        <w:t>Addleshaw</w:t>
      </w:r>
      <w:proofErr w:type="spellEnd"/>
      <w:r w:rsidRPr="00DF22AB">
        <w:rPr>
          <w:rFonts w:cs="Calibri"/>
        </w:rPr>
        <w:t xml:space="preserve"> Goddard (Middle East) LLP may advise the Fund Manager and the Fund, in matters relating to the operation of the Fund on an ongoing basis. </w:t>
      </w:r>
      <w:proofErr w:type="spellStart"/>
      <w:r w:rsidRPr="00DF22AB">
        <w:rPr>
          <w:rFonts w:cs="Calibri"/>
        </w:rPr>
        <w:t>Addleshaw</w:t>
      </w:r>
      <w:proofErr w:type="spellEnd"/>
      <w:r w:rsidRPr="00DF22AB">
        <w:rPr>
          <w:rFonts w:cs="Calibri"/>
        </w:rPr>
        <w:t xml:space="preserve"> Goddard (Middle East) LLP does not represent, and has not represented, the prospective investors </w:t>
      </w:r>
      <w:proofErr w:type="gramStart"/>
      <w:r w:rsidRPr="00DF22AB">
        <w:rPr>
          <w:rFonts w:cs="Calibri"/>
        </w:rPr>
        <w:t>in the course of</w:t>
      </w:r>
      <w:proofErr w:type="gramEnd"/>
      <w:r w:rsidRPr="00DF22AB">
        <w:rPr>
          <w:rFonts w:cs="Calibri"/>
        </w:rPr>
        <w:t xml:space="preserve"> the organisation of the Fund, the negotiation of their business terms, the offering of the Tokens or in respect of the Fund’s ongoing operations.  Prospective investors must recognise that, as they have had no representation in the organisation process, the terms of the Fund relating to themselves and the Tokens have not been negotiated at arm’s length.</w:t>
      </w:r>
    </w:p>
    <w:p w14:paraId="3CDBAC89" w14:textId="77777777" w:rsidR="0016365A" w:rsidRPr="00DF22AB" w:rsidRDefault="0016365A" w:rsidP="0016365A">
      <w:pPr>
        <w:pStyle w:val="Level4Number"/>
        <w:rPr>
          <w:rFonts w:cs="Calibri"/>
        </w:rPr>
      </w:pPr>
      <w:proofErr w:type="spellStart"/>
      <w:r w:rsidRPr="00DF22AB">
        <w:rPr>
          <w:rFonts w:cs="Calibri"/>
        </w:rPr>
        <w:t>Addleshaw</w:t>
      </w:r>
      <w:proofErr w:type="spellEnd"/>
      <w:r w:rsidRPr="00DF22AB">
        <w:rPr>
          <w:rFonts w:cs="Calibri"/>
        </w:rPr>
        <w:t xml:space="preserve"> Goddard (Middle East) LLP’s representation of the Fund and the Fund Manager is limited to the specific matters as to which it is consulted by the Fund and the Fund Manager and, therefore, there may exist facts or circumstances that could have a bearing on the Fund’s or the Fund Manager’s financial condition or operations with respect to which </w:t>
      </w:r>
      <w:proofErr w:type="spellStart"/>
      <w:r w:rsidRPr="00DF22AB">
        <w:rPr>
          <w:rFonts w:cs="Calibri"/>
        </w:rPr>
        <w:t>Addleshaw</w:t>
      </w:r>
      <w:proofErr w:type="spellEnd"/>
      <w:r w:rsidRPr="00DF22AB">
        <w:rPr>
          <w:rFonts w:cs="Calibri"/>
        </w:rPr>
        <w:t xml:space="preserve"> Goddard (Middle East) LLP has not been consulted and for which </w:t>
      </w:r>
      <w:proofErr w:type="spellStart"/>
      <w:r w:rsidRPr="00DF22AB">
        <w:rPr>
          <w:rFonts w:cs="Calibri"/>
        </w:rPr>
        <w:t>Addleshaw</w:t>
      </w:r>
      <w:proofErr w:type="spellEnd"/>
      <w:r w:rsidRPr="00DF22AB">
        <w:rPr>
          <w:rFonts w:cs="Calibri"/>
        </w:rPr>
        <w:t xml:space="preserve"> Goddard (Middle East) LLP expressly disclaims any responsibility.</w:t>
      </w:r>
    </w:p>
    <w:p w14:paraId="483CE691" w14:textId="55644398" w:rsidR="00B23A6C" w:rsidRPr="004126E5" w:rsidRDefault="00B23A6C" w:rsidP="00DF494E">
      <w:pPr>
        <w:pStyle w:val="Level2Heading"/>
      </w:pPr>
      <w:r w:rsidRPr="004126E5">
        <w:t>Certain Regulatory Matters</w:t>
      </w:r>
    </w:p>
    <w:p w14:paraId="5E9D86C3" w14:textId="5CEFA13E" w:rsidR="00B23A6C" w:rsidRPr="004126E5" w:rsidRDefault="00B23A6C" w:rsidP="00274F95">
      <w:pPr>
        <w:pStyle w:val="Level3Number"/>
        <w:rPr>
          <w:rFonts w:cs="Calibri"/>
        </w:rPr>
      </w:pPr>
      <w:r w:rsidRPr="004126E5">
        <w:rPr>
          <w:rFonts w:cs="Calibri"/>
        </w:rPr>
        <w:t>The Fund Manager is regulated by the FSRA and is licensed to carry out</w:t>
      </w:r>
      <w:r w:rsidR="00DF22AB">
        <w:rPr>
          <w:rFonts w:cs="Calibri"/>
        </w:rPr>
        <w:t xml:space="preserve">, inter alia, </w:t>
      </w:r>
      <w:r w:rsidRPr="004126E5">
        <w:rPr>
          <w:rFonts w:cs="Calibri"/>
        </w:rPr>
        <w:t xml:space="preserve">the activity of Managing a Collective Investment Fund (as defined in the FSRA Rules). </w:t>
      </w:r>
    </w:p>
    <w:p w14:paraId="5C47E2B2" w14:textId="2143A225" w:rsidR="00B23A6C" w:rsidRPr="004126E5" w:rsidRDefault="00B23A6C" w:rsidP="00274F95">
      <w:pPr>
        <w:pStyle w:val="Level3Number"/>
        <w:rPr>
          <w:rFonts w:cs="Calibri"/>
        </w:rPr>
      </w:pPr>
      <w:r w:rsidRPr="004126E5">
        <w:rPr>
          <w:rFonts w:cs="Calibri"/>
        </w:rPr>
        <w:t>The Fund was formed as a</w:t>
      </w:r>
      <w:r w:rsidR="00DF22AB">
        <w:rPr>
          <w:rFonts w:cs="Calibri"/>
        </w:rPr>
        <w:t>n</w:t>
      </w:r>
      <w:r w:rsidRPr="004126E5">
        <w:rPr>
          <w:rFonts w:cs="Calibri"/>
        </w:rPr>
        <w:t xml:space="preserve"> </w:t>
      </w:r>
      <w:r w:rsidR="00DF22AB">
        <w:rPr>
          <w:rFonts w:cs="Calibri"/>
        </w:rPr>
        <w:t>open</w:t>
      </w:r>
      <w:r w:rsidRPr="004126E5">
        <w:rPr>
          <w:rFonts w:cs="Calibri"/>
        </w:rPr>
        <w:t xml:space="preserve">-ended investment </w:t>
      </w:r>
      <w:r w:rsidR="00DF22AB">
        <w:rPr>
          <w:rFonts w:cs="Calibri"/>
        </w:rPr>
        <w:t>company</w:t>
      </w:r>
      <w:r w:rsidRPr="004126E5">
        <w:rPr>
          <w:rFonts w:cs="Calibri"/>
        </w:rPr>
        <w:t>, a Domestic Fund</w:t>
      </w:r>
      <w:r w:rsidR="00274F95">
        <w:rPr>
          <w:rFonts w:cs="Calibri"/>
        </w:rPr>
        <w:t xml:space="preserve"> and</w:t>
      </w:r>
      <w:r w:rsidRPr="004126E5">
        <w:rPr>
          <w:rFonts w:cs="Calibri"/>
        </w:rPr>
        <w:t xml:space="preserve"> a</w:t>
      </w:r>
      <w:r w:rsidR="00DF22AB">
        <w:rPr>
          <w:rFonts w:cs="Calibri"/>
        </w:rPr>
        <w:t>n Exempt F</w:t>
      </w:r>
      <w:r w:rsidRPr="004126E5">
        <w:rPr>
          <w:rFonts w:cs="Calibri"/>
        </w:rPr>
        <w:t>und under the FSRA Rules. The offering of the Fund was notified to the FSRA in accordance with the FSRA Rules.</w:t>
      </w:r>
    </w:p>
    <w:p w14:paraId="4CD0AA2B" w14:textId="211D5BB3" w:rsidR="00B23A6C" w:rsidRPr="004126E5" w:rsidRDefault="00B23A6C" w:rsidP="00274F95">
      <w:pPr>
        <w:pStyle w:val="Level3Number"/>
        <w:rPr>
          <w:rFonts w:cs="Calibri"/>
        </w:rPr>
      </w:pPr>
      <w:r w:rsidRPr="004126E5">
        <w:rPr>
          <w:rFonts w:cs="Calibri"/>
        </w:rPr>
        <w:t xml:space="preserve">The Fund intends to meet at inception, and on an on-going basis, the </w:t>
      </w:r>
      <w:r w:rsidR="00E303B1">
        <w:rPr>
          <w:rFonts w:cs="Calibri"/>
        </w:rPr>
        <w:t>Exempt</w:t>
      </w:r>
      <w:r w:rsidRPr="004126E5">
        <w:rPr>
          <w:rFonts w:cs="Calibri"/>
        </w:rPr>
        <w:t xml:space="preserve"> Fund criteria as set out in the </w:t>
      </w:r>
      <w:r w:rsidR="00DF22AB">
        <w:rPr>
          <w:rFonts w:cs="Calibri"/>
        </w:rPr>
        <w:t>ADGM Laws and FSRA Rules</w:t>
      </w:r>
      <w:r w:rsidRPr="004126E5">
        <w:rPr>
          <w:rFonts w:cs="Calibri"/>
        </w:rPr>
        <w:t xml:space="preserve"> on the basis that (a) the </w:t>
      </w:r>
      <w:r w:rsidR="00DF22AB">
        <w:rPr>
          <w:rFonts w:cs="Calibri"/>
        </w:rPr>
        <w:t>Tokens</w:t>
      </w:r>
      <w:r w:rsidRPr="004126E5">
        <w:rPr>
          <w:rFonts w:cs="Calibri"/>
        </w:rPr>
        <w:t xml:space="preserve"> will be offered to persons only by way of private placemen</w:t>
      </w:r>
      <w:r w:rsidR="00DF22AB">
        <w:rPr>
          <w:rFonts w:cs="Calibri"/>
        </w:rPr>
        <w:t xml:space="preserve">t, </w:t>
      </w:r>
      <w:r w:rsidRPr="004126E5">
        <w:rPr>
          <w:rFonts w:cs="Calibri"/>
        </w:rPr>
        <w:t>(</w:t>
      </w:r>
      <w:r w:rsidR="00274F95">
        <w:rPr>
          <w:rFonts w:cs="Calibri"/>
        </w:rPr>
        <w:t>b</w:t>
      </w:r>
      <w:r w:rsidRPr="004126E5">
        <w:rPr>
          <w:rFonts w:cs="Calibri"/>
        </w:rPr>
        <w:t xml:space="preserve">) all </w:t>
      </w:r>
      <w:r w:rsidR="006D4C23">
        <w:rPr>
          <w:rFonts w:cs="Calibri"/>
        </w:rPr>
        <w:t>Token Holder</w:t>
      </w:r>
      <w:r w:rsidRPr="004126E5">
        <w:rPr>
          <w:rFonts w:cs="Calibri"/>
        </w:rPr>
        <w:t>s will meet the criteria to be classified as a Professional Client</w:t>
      </w:r>
      <w:r w:rsidR="00DF22AB">
        <w:rPr>
          <w:rFonts w:cs="Calibri"/>
        </w:rPr>
        <w:t>,</w:t>
      </w:r>
      <w:r w:rsidRPr="004126E5">
        <w:rPr>
          <w:rFonts w:cs="Calibri"/>
        </w:rPr>
        <w:t xml:space="preserve"> and (</w:t>
      </w:r>
      <w:r w:rsidR="00274F95">
        <w:rPr>
          <w:rFonts w:cs="Calibri"/>
        </w:rPr>
        <w:t>c</w:t>
      </w:r>
      <w:r w:rsidRPr="004126E5">
        <w:rPr>
          <w:rFonts w:cs="Calibri"/>
        </w:rPr>
        <w:t xml:space="preserve">) the initial subscription amount of </w:t>
      </w:r>
      <w:r w:rsidR="00DF22AB">
        <w:rPr>
          <w:rFonts w:cs="Calibri"/>
        </w:rPr>
        <w:t xml:space="preserve">Tokens </w:t>
      </w:r>
      <w:r w:rsidRPr="004126E5">
        <w:rPr>
          <w:rFonts w:cs="Calibri"/>
        </w:rPr>
        <w:t xml:space="preserve">each </w:t>
      </w:r>
      <w:r w:rsidR="00DF22AB">
        <w:rPr>
          <w:rFonts w:cs="Calibri"/>
        </w:rPr>
        <w:t xml:space="preserve">Token </w:t>
      </w:r>
      <w:r w:rsidR="00DF22AB">
        <w:rPr>
          <w:rFonts w:cs="Calibri"/>
        </w:rPr>
        <w:lastRenderedPageBreak/>
        <w:t>Holder</w:t>
      </w:r>
      <w:r w:rsidRPr="004126E5">
        <w:rPr>
          <w:rFonts w:cs="Calibri"/>
        </w:rPr>
        <w:t xml:space="preserve"> is at least US$50,000. Each </w:t>
      </w:r>
      <w:r w:rsidR="006D4C23">
        <w:rPr>
          <w:rFonts w:cs="Calibri"/>
        </w:rPr>
        <w:t>Token Holder</w:t>
      </w:r>
      <w:r w:rsidRPr="004126E5">
        <w:rPr>
          <w:rFonts w:cs="Calibri"/>
        </w:rPr>
        <w:t xml:space="preserve"> will be required to give appropriate representations and warranties in the </w:t>
      </w:r>
      <w:r w:rsidR="006D4C23">
        <w:rPr>
          <w:rFonts w:cs="Calibri"/>
        </w:rPr>
        <w:t>Token Purchase Agreement</w:t>
      </w:r>
      <w:r w:rsidRPr="004126E5">
        <w:rPr>
          <w:rFonts w:cs="Calibri"/>
        </w:rPr>
        <w:t xml:space="preserve"> to confirm that it meets the criteria to be classified as a Professional Client for the purposes of FSRA Law.</w:t>
      </w:r>
    </w:p>
    <w:p w14:paraId="56CB36C8" w14:textId="77777777" w:rsidR="00274F95" w:rsidRDefault="00B23A6C" w:rsidP="00274F95">
      <w:pPr>
        <w:pStyle w:val="Level3Number"/>
        <w:rPr>
          <w:rFonts w:cs="Calibri"/>
        </w:rPr>
      </w:pPr>
      <w:r w:rsidRPr="004126E5">
        <w:rPr>
          <w:rFonts w:cs="Calibri"/>
        </w:rPr>
        <w:t>A Professional Client will include:</w:t>
      </w:r>
    </w:p>
    <w:p w14:paraId="7FB6A902" w14:textId="77777777" w:rsidR="00274F95" w:rsidRDefault="00B23A6C" w:rsidP="00274F95">
      <w:pPr>
        <w:pStyle w:val="Level4Number"/>
        <w:rPr>
          <w:rFonts w:cs="Calibri"/>
        </w:rPr>
      </w:pPr>
      <w:r w:rsidRPr="004126E5">
        <w:t xml:space="preserve">a “deemed” Professional Client pursuant to the FSRA Rules COB, Section 2.4.2; or </w:t>
      </w:r>
    </w:p>
    <w:p w14:paraId="536C906D" w14:textId="4AA6E547" w:rsidR="00B23A6C" w:rsidRPr="00D85975" w:rsidRDefault="00B23A6C" w:rsidP="00274F95">
      <w:pPr>
        <w:pStyle w:val="Level4Number"/>
        <w:rPr>
          <w:rFonts w:cs="Calibri"/>
        </w:rPr>
      </w:pPr>
      <w:r w:rsidRPr="004126E5">
        <w:t>an “assessed” Professional Client pursuant to the FSRA Rules COB, Section 2.4.4.</w:t>
      </w:r>
    </w:p>
    <w:p w14:paraId="0D264170" w14:textId="03ADE097" w:rsidR="00153DFE" w:rsidRPr="00831CCB" w:rsidRDefault="00153DFE" w:rsidP="00153DFE">
      <w:pPr>
        <w:pStyle w:val="Level2Heading"/>
        <w:rPr>
          <w:rFonts w:cs="Calibri"/>
          <w:b w:val="0"/>
          <w:bCs/>
          <w:smallCaps/>
          <w:szCs w:val="22"/>
        </w:rPr>
      </w:pPr>
      <w:r w:rsidRPr="00153DFE">
        <w:t>Key</w:t>
      </w:r>
      <w:r w:rsidRPr="00831CCB">
        <w:rPr>
          <w:rFonts w:cs="Calibri"/>
          <w:bCs/>
          <w:szCs w:val="22"/>
        </w:rPr>
        <w:t xml:space="preserve"> Regulatory Aspects of the </w:t>
      </w:r>
      <w:r w:rsidR="003C7E15">
        <w:rPr>
          <w:rFonts w:cs="Calibri"/>
          <w:bCs/>
          <w:szCs w:val="22"/>
        </w:rPr>
        <w:t>Tokenisation</w:t>
      </w:r>
    </w:p>
    <w:p w14:paraId="0FA91E43" w14:textId="528E117E" w:rsidR="00153DFE" w:rsidRPr="00831CCB" w:rsidRDefault="00153DFE" w:rsidP="00153DFE">
      <w:pPr>
        <w:pStyle w:val="Level3Number"/>
        <w:numPr>
          <w:ilvl w:val="0"/>
          <w:numId w:val="0"/>
        </w:numPr>
        <w:ind w:left="720"/>
        <w:rPr>
          <w:rFonts w:cs="Calibri"/>
          <w:szCs w:val="22"/>
        </w:rPr>
      </w:pPr>
      <w:r w:rsidRPr="00153DFE">
        <w:rPr>
          <w:rFonts w:cs="Calibri"/>
        </w:rPr>
        <w:t>The</w:t>
      </w:r>
      <w:r w:rsidRPr="00831CCB">
        <w:rPr>
          <w:rFonts w:cs="Calibri"/>
          <w:color w:val="000000"/>
          <w:szCs w:val="22"/>
        </w:rPr>
        <w:t xml:space="preserve"> following is intended to provide additional detail on certain key aspects of the </w:t>
      </w:r>
      <w:r w:rsidR="003C7E15">
        <w:rPr>
          <w:rFonts w:cs="Calibri"/>
          <w:color w:val="000000"/>
          <w:szCs w:val="22"/>
        </w:rPr>
        <w:t xml:space="preserve">tokenisation of the </w:t>
      </w:r>
      <w:r w:rsidRPr="00831CCB">
        <w:rPr>
          <w:rFonts w:cs="Calibri"/>
          <w:color w:val="000000"/>
          <w:szCs w:val="22"/>
        </w:rPr>
        <w:t>Fund:</w:t>
      </w:r>
    </w:p>
    <w:p w14:paraId="65FAA922" w14:textId="77777777" w:rsidR="00153DFE" w:rsidRPr="00831CCB" w:rsidRDefault="00153DFE" w:rsidP="00153DFE">
      <w:pPr>
        <w:pStyle w:val="Level3Number"/>
        <w:rPr>
          <w:rFonts w:cs="Calibri"/>
          <w:color w:val="000000"/>
          <w:szCs w:val="22"/>
        </w:rPr>
      </w:pPr>
      <w:r w:rsidRPr="00153DFE">
        <w:rPr>
          <w:rFonts w:cs="Calibri"/>
        </w:rPr>
        <w:t>Security</w:t>
      </w:r>
    </w:p>
    <w:p w14:paraId="5C37716A" w14:textId="77777777" w:rsidR="00153DFE" w:rsidRPr="00153DFE" w:rsidRDefault="00153DFE" w:rsidP="00153DFE">
      <w:pPr>
        <w:pStyle w:val="Level4Number"/>
        <w:rPr>
          <w:rFonts w:cs="Calibri"/>
          <w:b/>
          <w:szCs w:val="22"/>
        </w:rPr>
      </w:pPr>
      <w:r w:rsidRPr="00153DFE">
        <w:rPr>
          <w:rFonts w:cs="Calibri"/>
          <w:color w:val="000000"/>
          <w:szCs w:val="22"/>
        </w:rPr>
        <w:t xml:space="preserve">The Fund will not issue participating shares, as customary in a fund, it will instead issue the Tokens that will be subscribed for by investors in an initial token offering and </w:t>
      </w:r>
      <w:r w:rsidRPr="00153DFE">
        <w:rPr>
          <w:rFonts w:cs="Calibri"/>
        </w:rPr>
        <w:t>subsequent</w:t>
      </w:r>
      <w:r w:rsidRPr="00153DFE">
        <w:rPr>
          <w:rFonts w:cs="Calibri"/>
          <w:color w:val="000000"/>
          <w:szCs w:val="22"/>
        </w:rPr>
        <w:t xml:space="preserve"> token offerings ("</w:t>
      </w:r>
      <w:r w:rsidRPr="00153DFE">
        <w:rPr>
          <w:rFonts w:cs="Calibri"/>
          <w:b/>
          <w:bCs/>
          <w:color w:val="000000"/>
          <w:szCs w:val="22"/>
        </w:rPr>
        <w:t>ITOs</w:t>
      </w:r>
      <w:r w:rsidRPr="00153DFE">
        <w:rPr>
          <w:rFonts w:cs="Calibri"/>
          <w:color w:val="000000"/>
          <w:szCs w:val="22"/>
        </w:rPr>
        <w:t>").  The Tokens will afford the Token holder a proportionate share in the assets of the Fund (in the same manner as participating shares would afford the holder a right in the assets of the fund in a traditional structure).</w:t>
      </w:r>
    </w:p>
    <w:p w14:paraId="5606D735" w14:textId="717642B4" w:rsidR="00153DFE" w:rsidRPr="00153DFE" w:rsidRDefault="00153DFE" w:rsidP="00153DFE">
      <w:pPr>
        <w:pStyle w:val="Level4Number"/>
        <w:rPr>
          <w:rFonts w:cs="Calibri"/>
          <w:b/>
          <w:szCs w:val="22"/>
        </w:rPr>
      </w:pPr>
      <w:r w:rsidRPr="00153DFE">
        <w:rPr>
          <w:rFonts w:cs="Calibri"/>
          <w:color w:val="000000"/>
          <w:szCs w:val="22"/>
        </w:rPr>
        <w:t xml:space="preserve">The Tokens may be subscribed for (minted) and redeemed (burned) in accordance with the </w:t>
      </w:r>
      <w:r>
        <w:rPr>
          <w:rFonts w:cs="Calibri"/>
          <w:color w:val="000000"/>
          <w:szCs w:val="22"/>
        </w:rPr>
        <w:t>Articles</w:t>
      </w:r>
      <w:r w:rsidRPr="00153DFE">
        <w:rPr>
          <w:rFonts w:cs="Calibri"/>
          <w:color w:val="000000"/>
          <w:szCs w:val="22"/>
        </w:rPr>
        <w:t>.</w:t>
      </w:r>
    </w:p>
    <w:p w14:paraId="5F7AF514" w14:textId="77777777" w:rsidR="00153DFE" w:rsidRPr="00831CCB" w:rsidRDefault="00153DFE" w:rsidP="00153DFE">
      <w:pPr>
        <w:pStyle w:val="Level3Number"/>
        <w:rPr>
          <w:rFonts w:cs="Calibri"/>
          <w:szCs w:val="22"/>
        </w:rPr>
      </w:pPr>
      <w:r w:rsidRPr="00831CCB">
        <w:rPr>
          <w:rFonts w:cs="Calibri"/>
          <w:color w:val="000000"/>
          <w:szCs w:val="22"/>
        </w:rPr>
        <w:t>Initial Subscribers</w:t>
      </w:r>
    </w:p>
    <w:p w14:paraId="0B18DE87" w14:textId="77777777" w:rsidR="00153DFE" w:rsidRPr="00831CCB" w:rsidRDefault="00153DFE" w:rsidP="00153DFE">
      <w:pPr>
        <w:pStyle w:val="Level4Number"/>
        <w:rPr>
          <w:rFonts w:cs="Calibri"/>
          <w:b/>
          <w:szCs w:val="22"/>
        </w:rPr>
      </w:pPr>
      <w:r w:rsidRPr="00831CCB">
        <w:rPr>
          <w:rFonts w:cs="Calibri"/>
          <w:color w:val="000000"/>
          <w:szCs w:val="22"/>
        </w:rPr>
        <w:t>All initial subscribers to the Fund participating in the ITO will be:</w:t>
      </w:r>
    </w:p>
    <w:p w14:paraId="541DA7D9" w14:textId="77777777" w:rsidR="00153DFE" w:rsidRPr="00831CCB" w:rsidRDefault="00153DFE" w:rsidP="00153DFE">
      <w:pPr>
        <w:pStyle w:val="Level5Number"/>
        <w:rPr>
          <w:rFonts w:cs="Calibri"/>
          <w:szCs w:val="22"/>
        </w:rPr>
      </w:pPr>
      <w:r w:rsidRPr="00153DFE">
        <w:rPr>
          <w:szCs w:val="22"/>
        </w:rPr>
        <w:t>Professional</w:t>
      </w:r>
      <w:r w:rsidRPr="00831CCB">
        <w:rPr>
          <w:rFonts w:cs="Calibri"/>
          <w:color w:val="000000"/>
          <w:szCs w:val="22"/>
        </w:rPr>
        <w:t xml:space="preserve"> </w:t>
      </w:r>
      <w:proofErr w:type="gramStart"/>
      <w:r w:rsidRPr="00831CCB">
        <w:rPr>
          <w:rFonts w:cs="Calibri"/>
          <w:color w:val="000000"/>
          <w:szCs w:val="22"/>
        </w:rPr>
        <w:t>Clients;</w:t>
      </w:r>
      <w:proofErr w:type="gramEnd"/>
    </w:p>
    <w:p w14:paraId="10BD22A0" w14:textId="77777777" w:rsidR="00153DFE" w:rsidRPr="00831CCB" w:rsidRDefault="00153DFE" w:rsidP="00153DFE">
      <w:pPr>
        <w:pStyle w:val="Level5Number"/>
        <w:rPr>
          <w:rFonts w:cs="Calibri"/>
          <w:szCs w:val="22"/>
        </w:rPr>
      </w:pPr>
      <w:r w:rsidRPr="00153DFE">
        <w:rPr>
          <w:szCs w:val="22"/>
        </w:rPr>
        <w:t>subject</w:t>
      </w:r>
      <w:r w:rsidRPr="00831CCB">
        <w:rPr>
          <w:rFonts w:cs="Calibri"/>
          <w:color w:val="000000"/>
          <w:szCs w:val="22"/>
        </w:rPr>
        <w:t xml:space="preserve"> of a private </w:t>
      </w:r>
      <w:proofErr w:type="gramStart"/>
      <w:r w:rsidRPr="00831CCB">
        <w:rPr>
          <w:rFonts w:cs="Calibri"/>
          <w:color w:val="000000"/>
          <w:szCs w:val="22"/>
        </w:rPr>
        <w:t>placement;</w:t>
      </w:r>
      <w:proofErr w:type="gramEnd"/>
      <w:r w:rsidRPr="00831CCB">
        <w:rPr>
          <w:rFonts w:cs="Calibri"/>
          <w:color w:val="000000"/>
          <w:szCs w:val="22"/>
        </w:rPr>
        <w:t xml:space="preserve"> </w:t>
      </w:r>
    </w:p>
    <w:p w14:paraId="42E61217" w14:textId="77777777" w:rsidR="00153DFE" w:rsidRDefault="00153DFE" w:rsidP="00153DFE">
      <w:pPr>
        <w:pStyle w:val="Level5Number"/>
        <w:rPr>
          <w:rFonts w:cs="Calibri"/>
          <w:szCs w:val="22"/>
        </w:rPr>
      </w:pPr>
      <w:r w:rsidRPr="00831CCB">
        <w:rPr>
          <w:rFonts w:cs="Calibri"/>
          <w:color w:val="000000"/>
          <w:szCs w:val="22"/>
        </w:rPr>
        <w:t>subject to, and have submitted, all KYC and AML information required by the Fund and the administrator,</w:t>
      </w:r>
    </w:p>
    <w:p w14:paraId="0F50DE84" w14:textId="77777777" w:rsidR="00153DFE" w:rsidRPr="00831CCB" w:rsidRDefault="00153DFE" w:rsidP="00153DFE">
      <w:pPr>
        <w:spacing w:after="240" w:line="240" w:lineRule="auto"/>
        <w:ind w:left="1440"/>
        <w:rPr>
          <w:rFonts w:ascii="Calibri" w:hAnsi="Calibri" w:cs="Calibri"/>
          <w:sz w:val="22"/>
          <w:szCs w:val="22"/>
        </w:rPr>
      </w:pPr>
      <w:r w:rsidRPr="00831CCB">
        <w:rPr>
          <w:rFonts w:ascii="Calibri" w:hAnsi="Calibri" w:cs="Calibri"/>
          <w:color w:val="000000"/>
          <w:sz w:val="22"/>
          <w:szCs w:val="22"/>
        </w:rPr>
        <w:t xml:space="preserve">all in compliance with ADGM </w:t>
      </w:r>
      <w:r>
        <w:rPr>
          <w:rFonts w:ascii="Calibri" w:hAnsi="Calibri" w:cs="Calibri"/>
          <w:color w:val="000000"/>
          <w:sz w:val="22"/>
          <w:szCs w:val="22"/>
        </w:rPr>
        <w:t>L</w:t>
      </w:r>
      <w:r w:rsidRPr="00831CCB">
        <w:rPr>
          <w:rFonts w:ascii="Calibri" w:hAnsi="Calibri" w:cs="Calibri"/>
          <w:color w:val="000000"/>
          <w:sz w:val="22"/>
          <w:szCs w:val="22"/>
        </w:rPr>
        <w:t xml:space="preserve">aws and </w:t>
      </w:r>
      <w:r>
        <w:rPr>
          <w:rFonts w:ascii="Calibri" w:hAnsi="Calibri" w:cs="Calibri"/>
          <w:color w:val="000000"/>
          <w:sz w:val="22"/>
          <w:szCs w:val="22"/>
        </w:rPr>
        <w:t>FSRA Rules</w:t>
      </w:r>
      <w:r w:rsidRPr="00831CCB">
        <w:rPr>
          <w:rFonts w:ascii="Calibri" w:hAnsi="Calibri" w:cs="Calibri"/>
          <w:color w:val="000000"/>
          <w:sz w:val="22"/>
          <w:szCs w:val="22"/>
        </w:rPr>
        <w:t xml:space="preserve"> (and the same as would be required in a traditional fund structure).</w:t>
      </w:r>
    </w:p>
    <w:p w14:paraId="2C751F7B" w14:textId="47CE70DE" w:rsidR="00153DFE" w:rsidRPr="00831CCB" w:rsidRDefault="00153DFE" w:rsidP="00153DFE">
      <w:pPr>
        <w:pStyle w:val="Level4Number"/>
        <w:rPr>
          <w:rFonts w:cs="Calibri"/>
          <w:b/>
          <w:szCs w:val="22"/>
        </w:rPr>
      </w:pPr>
      <w:r w:rsidRPr="00831CCB">
        <w:rPr>
          <w:rFonts w:cs="Calibri"/>
          <w:color w:val="000000"/>
          <w:szCs w:val="22"/>
        </w:rPr>
        <w:t xml:space="preserve">Subscribers will sign a token purchase agreement that will reflect substantially the form of a fund </w:t>
      </w:r>
      <w:r w:rsidR="006D4C23">
        <w:rPr>
          <w:rFonts w:cs="Calibri"/>
          <w:color w:val="000000"/>
          <w:szCs w:val="22"/>
        </w:rPr>
        <w:t>token purchase</w:t>
      </w:r>
      <w:r w:rsidRPr="00831CCB">
        <w:rPr>
          <w:rFonts w:cs="Calibri"/>
          <w:color w:val="000000"/>
          <w:szCs w:val="22"/>
        </w:rPr>
        <w:t xml:space="preserve"> agreement as well as containing all other information necessary in connection with the ITO aspect.</w:t>
      </w:r>
    </w:p>
    <w:p w14:paraId="24458DFF" w14:textId="77777777" w:rsidR="00153DFE" w:rsidRPr="00831CCB" w:rsidRDefault="00153DFE" w:rsidP="00153DFE">
      <w:pPr>
        <w:pStyle w:val="Level4Number"/>
        <w:rPr>
          <w:rFonts w:cs="Calibri"/>
          <w:b/>
          <w:szCs w:val="22"/>
        </w:rPr>
      </w:pPr>
      <w:r w:rsidRPr="00831CCB">
        <w:rPr>
          <w:rFonts w:cs="Calibri"/>
          <w:color w:val="000000"/>
          <w:szCs w:val="22"/>
        </w:rPr>
        <w:t>The Fund may carry out further issuances of Tokens following the first closing.</w:t>
      </w:r>
    </w:p>
    <w:p w14:paraId="1B654116" w14:textId="77777777" w:rsidR="00153DFE" w:rsidRPr="00831CCB" w:rsidRDefault="00153DFE" w:rsidP="00153DFE">
      <w:pPr>
        <w:pStyle w:val="Level3Number"/>
        <w:rPr>
          <w:rFonts w:cs="Calibri"/>
          <w:szCs w:val="22"/>
        </w:rPr>
      </w:pPr>
      <w:r w:rsidRPr="00153DFE">
        <w:rPr>
          <w:rFonts w:cs="Calibri"/>
        </w:rPr>
        <w:t>Key</w:t>
      </w:r>
      <w:r w:rsidRPr="00831CCB">
        <w:rPr>
          <w:rFonts w:cs="Calibri"/>
          <w:color w:val="000000"/>
          <w:szCs w:val="22"/>
        </w:rPr>
        <w:t xml:space="preserve"> Documents</w:t>
      </w:r>
    </w:p>
    <w:p w14:paraId="167EAD7B" w14:textId="77777777" w:rsidR="00153DFE" w:rsidRPr="00831CCB" w:rsidRDefault="00153DFE" w:rsidP="00153DFE">
      <w:pPr>
        <w:pStyle w:val="Level4Number"/>
        <w:rPr>
          <w:rFonts w:cs="Calibri"/>
          <w:b/>
          <w:szCs w:val="22"/>
        </w:rPr>
      </w:pPr>
      <w:r w:rsidRPr="00831CCB">
        <w:rPr>
          <w:rFonts w:cs="Calibri"/>
          <w:color w:val="000000"/>
          <w:szCs w:val="22"/>
        </w:rPr>
        <w:t>The key documents comprising the Fund and Tokens will be:</w:t>
      </w:r>
    </w:p>
    <w:p w14:paraId="14D1FBE9" w14:textId="77777777" w:rsidR="00153DFE" w:rsidRPr="00831CCB" w:rsidRDefault="00153DFE" w:rsidP="00153DFE">
      <w:pPr>
        <w:pStyle w:val="Level5Number"/>
        <w:rPr>
          <w:rFonts w:cs="Calibri"/>
          <w:szCs w:val="22"/>
        </w:rPr>
      </w:pPr>
      <w:r w:rsidRPr="006D4C23">
        <w:rPr>
          <w:i/>
          <w:iCs/>
          <w:szCs w:val="22"/>
        </w:rPr>
        <w:t>Articles</w:t>
      </w:r>
      <w:r w:rsidRPr="00831CCB">
        <w:rPr>
          <w:rFonts w:cs="Calibri"/>
          <w:color w:val="000000"/>
          <w:szCs w:val="22"/>
        </w:rPr>
        <w:t xml:space="preserve">.  Articles of Association of the Fund </w:t>
      </w:r>
      <w:r>
        <w:rPr>
          <w:rFonts w:cs="Calibri"/>
          <w:color w:val="000000"/>
          <w:szCs w:val="22"/>
        </w:rPr>
        <w:t xml:space="preserve">entrenching the rights of the </w:t>
      </w:r>
      <w:proofErr w:type="gramStart"/>
      <w:r>
        <w:rPr>
          <w:rFonts w:cs="Calibri"/>
          <w:color w:val="000000"/>
          <w:szCs w:val="22"/>
        </w:rPr>
        <w:t>Tokens</w:t>
      </w:r>
      <w:r w:rsidRPr="00831CCB">
        <w:rPr>
          <w:rFonts w:cs="Calibri"/>
          <w:color w:val="000000"/>
          <w:szCs w:val="22"/>
        </w:rPr>
        <w:t>;</w:t>
      </w:r>
      <w:proofErr w:type="gramEnd"/>
    </w:p>
    <w:p w14:paraId="56B9E446" w14:textId="77777777" w:rsidR="00153DFE" w:rsidRPr="00831CCB" w:rsidRDefault="00153DFE" w:rsidP="00153DFE">
      <w:pPr>
        <w:pStyle w:val="Level5Number"/>
        <w:rPr>
          <w:rFonts w:cs="Calibri"/>
          <w:szCs w:val="22"/>
        </w:rPr>
      </w:pPr>
      <w:r w:rsidRPr="00831CCB">
        <w:rPr>
          <w:rFonts w:cs="Calibri"/>
          <w:i/>
          <w:color w:val="000000"/>
          <w:szCs w:val="22"/>
        </w:rPr>
        <w:t>Prospectus</w:t>
      </w:r>
      <w:r w:rsidRPr="00831CCB">
        <w:rPr>
          <w:rFonts w:cs="Calibri"/>
          <w:color w:val="000000"/>
          <w:szCs w:val="22"/>
        </w:rPr>
        <w:t xml:space="preserve">. The Prospectus is issued by the Fund.  This will satisfy ADGM Fund Rules and will set out the terms and rights of the </w:t>
      </w:r>
      <w:proofErr w:type="gramStart"/>
      <w:r w:rsidRPr="00831CCB">
        <w:rPr>
          <w:rFonts w:cs="Calibri"/>
          <w:color w:val="000000"/>
          <w:szCs w:val="22"/>
        </w:rPr>
        <w:t>Tokens;</w:t>
      </w:r>
      <w:proofErr w:type="gramEnd"/>
    </w:p>
    <w:p w14:paraId="347727F9" w14:textId="38AA1805" w:rsidR="00153DFE" w:rsidRPr="00831CCB" w:rsidRDefault="00153DFE" w:rsidP="00153DFE">
      <w:pPr>
        <w:pStyle w:val="Level5Number"/>
        <w:rPr>
          <w:rFonts w:cs="Calibri"/>
          <w:szCs w:val="22"/>
        </w:rPr>
      </w:pPr>
      <w:r w:rsidRPr="003C7E15">
        <w:rPr>
          <w:i/>
          <w:iCs/>
          <w:szCs w:val="22"/>
        </w:rPr>
        <w:lastRenderedPageBreak/>
        <w:t>Fund</w:t>
      </w:r>
      <w:r w:rsidRPr="00831CCB">
        <w:rPr>
          <w:rFonts w:cs="Calibri"/>
          <w:i/>
          <w:color w:val="000000"/>
          <w:szCs w:val="22"/>
        </w:rPr>
        <w:t xml:space="preserve"> Management Agreement</w:t>
      </w:r>
      <w:r w:rsidRPr="00831CCB">
        <w:rPr>
          <w:rFonts w:cs="Calibri"/>
          <w:color w:val="000000"/>
          <w:szCs w:val="22"/>
        </w:rPr>
        <w:t xml:space="preserve">. Fund Management Agreement between the Fund and </w:t>
      </w:r>
      <w:r w:rsidR="00DF5C35">
        <w:rPr>
          <w:rFonts w:cs="Calibri"/>
          <w:color w:val="000000"/>
          <w:szCs w:val="22"/>
        </w:rPr>
        <w:t>the Fund Manager</w:t>
      </w:r>
      <w:r w:rsidRPr="00831CCB">
        <w:rPr>
          <w:rFonts w:cs="Calibri"/>
          <w:color w:val="000000"/>
          <w:szCs w:val="22"/>
        </w:rPr>
        <w:t xml:space="preserve">, setting out </w:t>
      </w:r>
      <w:r w:rsidR="00DF5C35">
        <w:rPr>
          <w:rFonts w:cs="Calibri"/>
          <w:color w:val="000000"/>
          <w:szCs w:val="22"/>
        </w:rPr>
        <w:t>the Fund Manager's</w:t>
      </w:r>
      <w:r w:rsidRPr="00831CCB">
        <w:rPr>
          <w:rFonts w:cs="Calibri"/>
          <w:color w:val="000000"/>
          <w:szCs w:val="22"/>
        </w:rPr>
        <w:t xml:space="preserve"> rights and responsibilities as manager of the </w:t>
      </w:r>
      <w:proofErr w:type="gramStart"/>
      <w:r w:rsidRPr="00831CCB">
        <w:rPr>
          <w:rFonts w:cs="Calibri"/>
          <w:color w:val="000000"/>
          <w:szCs w:val="22"/>
        </w:rPr>
        <w:t>Fund;</w:t>
      </w:r>
      <w:proofErr w:type="gramEnd"/>
    </w:p>
    <w:p w14:paraId="5A454D6D" w14:textId="77777777" w:rsidR="00153DFE" w:rsidRPr="00831CCB" w:rsidRDefault="00153DFE" w:rsidP="00153DFE">
      <w:pPr>
        <w:pStyle w:val="Level5Number"/>
        <w:rPr>
          <w:rFonts w:cs="Calibri"/>
          <w:szCs w:val="22"/>
        </w:rPr>
      </w:pPr>
      <w:r w:rsidRPr="00831CCB">
        <w:rPr>
          <w:rFonts w:cs="Calibri"/>
          <w:i/>
          <w:color w:val="000000"/>
          <w:szCs w:val="22"/>
        </w:rPr>
        <w:t>Token Purchase Agreement</w:t>
      </w:r>
      <w:r w:rsidRPr="00831CCB">
        <w:rPr>
          <w:rFonts w:cs="Calibri"/>
          <w:color w:val="000000"/>
          <w:szCs w:val="22"/>
        </w:rPr>
        <w:t xml:space="preserve">.  Token Purchase Agreement, between the Fund and </w:t>
      </w:r>
      <w:r w:rsidRPr="00153DFE">
        <w:rPr>
          <w:szCs w:val="22"/>
        </w:rPr>
        <w:t>each</w:t>
      </w:r>
      <w:r w:rsidRPr="00831CCB">
        <w:rPr>
          <w:rFonts w:cs="Calibri"/>
          <w:color w:val="000000"/>
          <w:szCs w:val="22"/>
        </w:rPr>
        <w:t xml:space="preserve"> subscriber pursuant to which each subscriber purchases </w:t>
      </w:r>
      <w:proofErr w:type="gramStart"/>
      <w:r w:rsidRPr="00831CCB">
        <w:rPr>
          <w:rFonts w:cs="Calibri"/>
          <w:color w:val="000000"/>
          <w:szCs w:val="22"/>
        </w:rPr>
        <w:t>Tokens;</w:t>
      </w:r>
      <w:proofErr w:type="gramEnd"/>
    </w:p>
    <w:p w14:paraId="58F634A0" w14:textId="140E3E21" w:rsidR="000B5517" w:rsidRPr="000B5517" w:rsidRDefault="000B5517" w:rsidP="00153DFE">
      <w:pPr>
        <w:pStyle w:val="Level5Number"/>
        <w:rPr>
          <w:rFonts w:cs="Calibri"/>
          <w:szCs w:val="22"/>
        </w:rPr>
      </w:pPr>
      <w:r w:rsidRPr="000B5517">
        <w:rPr>
          <w:i/>
          <w:iCs/>
          <w:szCs w:val="22"/>
        </w:rPr>
        <w:t>Tokenisation</w:t>
      </w:r>
      <w:r w:rsidRPr="00831CCB">
        <w:rPr>
          <w:rFonts w:cs="Calibri"/>
          <w:i/>
          <w:color w:val="000000"/>
          <w:szCs w:val="22"/>
        </w:rPr>
        <w:t xml:space="preserve"> Agreement</w:t>
      </w:r>
      <w:r w:rsidRPr="00831CCB">
        <w:rPr>
          <w:rFonts w:cs="Calibri"/>
          <w:color w:val="000000"/>
          <w:szCs w:val="22"/>
        </w:rPr>
        <w:t xml:space="preserve">. Tokenisation Agreement between the Fund and </w:t>
      </w:r>
      <w:r>
        <w:rPr>
          <w:rFonts w:cs="Calibri"/>
          <w:color w:val="000000"/>
          <w:szCs w:val="22"/>
        </w:rPr>
        <w:t xml:space="preserve">the </w:t>
      </w:r>
      <w:proofErr w:type="spellStart"/>
      <w:r>
        <w:rPr>
          <w:rFonts w:cs="Calibri"/>
          <w:color w:val="000000"/>
          <w:szCs w:val="22"/>
        </w:rPr>
        <w:t>Tokenisor</w:t>
      </w:r>
      <w:proofErr w:type="spellEnd"/>
      <w:r w:rsidRPr="00831CCB">
        <w:rPr>
          <w:rFonts w:cs="Calibri"/>
          <w:color w:val="000000"/>
          <w:szCs w:val="22"/>
        </w:rPr>
        <w:t xml:space="preserve">, pursuant to which </w:t>
      </w:r>
      <w:r>
        <w:rPr>
          <w:rFonts w:cs="Calibri"/>
          <w:color w:val="000000"/>
          <w:szCs w:val="22"/>
        </w:rPr>
        <w:t xml:space="preserve">the </w:t>
      </w:r>
      <w:proofErr w:type="spellStart"/>
      <w:r>
        <w:rPr>
          <w:rFonts w:cs="Calibri"/>
          <w:color w:val="000000"/>
          <w:szCs w:val="22"/>
        </w:rPr>
        <w:t>Tokenisor</w:t>
      </w:r>
      <w:proofErr w:type="spellEnd"/>
      <w:r w:rsidRPr="00831CCB">
        <w:rPr>
          <w:rFonts w:cs="Calibri"/>
          <w:color w:val="000000"/>
          <w:szCs w:val="22"/>
        </w:rPr>
        <w:t xml:space="preserve"> will undertake the tokenisation of the Fund for and on behalf of the Fund, and carry out other technical services</w:t>
      </w:r>
      <w:r>
        <w:rPr>
          <w:rFonts w:cs="Calibri"/>
          <w:color w:val="000000"/>
          <w:szCs w:val="22"/>
        </w:rPr>
        <w:t>; and</w:t>
      </w:r>
    </w:p>
    <w:p w14:paraId="4B103307" w14:textId="74D79F71" w:rsidR="00153DFE" w:rsidRPr="000B5517" w:rsidRDefault="00153DFE" w:rsidP="000B5517">
      <w:pPr>
        <w:pStyle w:val="Level5Number"/>
        <w:rPr>
          <w:rFonts w:cs="Calibri"/>
          <w:szCs w:val="22"/>
        </w:rPr>
      </w:pPr>
      <w:r w:rsidRPr="00831CCB">
        <w:rPr>
          <w:rFonts w:cs="Calibri"/>
          <w:i/>
          <w:color w:val="000000"/>
          <w:szCs w:val="22"/>
        </w:rPr>
        <w:t>Technical Services Agreement</w:t>
      </w:r>
      <w:r w:rsidRPr="00831CCB">
        <w:rPr>
          <w:rFonts w:cs="Calibri"/>
          <w:color w:val="000000"/>
          <w:szCs w:val="22"/>
        </w:rPr>
        <w:t xml:space="preserve">. Technical Services Agreement between the </w:t>
      </w:r>
      <w:proofErr w:type="spellStart"/>
      <w:r w:rsidR="00C54A74">
        <w:rPr>
          <w:szCs w:val="22"/>
        </w:rPr>
        <w:t>Tokenisor</w:t>
      </w:r>
      <w:proofErr w:type="spellEnd"/>
      <w:r w:rsidRPr="00831CCB">
        <w:rPr>
          <w:rFonts w:cs="Calibri"/>
          <w:color w:val="000000"/>
          <w:szCs w:val="22"/>
        </w:rPr>
        <w:t xml:space="preserve"> and </w:t>
      </w:r>
      <w:r>
        <w:rPr>
          <w:rFonts w:cs="Calibri"/>
          <w:color w:val="000000"/>
          <w:szCs w:val="22"/>
        </w:rPr>
        <w:t>the Technical Advisor</w:t>
      </w:r>
      <w:r w:rsidRPr="00831CCB">
        <w:rPr>
          <w:rFonts w:cs="Calibri"/>
          <w:color w:val="000000"/>
          <w:szCs w:val="22"/>
        </w:rPr>
        <w:t xml:space="preserve">, pursuant to which </w:t>
      </w:r>
      <w:r>
        <w:rPr>
          <w:rFonts w:cs="Calibri"/>
          <w:color w:val="000000"/>
          <w:szCs w:val="22"/>
        </w:rPr>
        <w:t>the Technical Advisor</w:t>
      </w:r>
      <w:r w:rsidRPr="00831CCB">
        <w:rPr>
          <w:rFonts w:cs="Calibri"/>
          <w:color w:val="000000"/>
          <w:szCs w:val="22"/>
        </w:rPr>
        <w:t xml:space="preserve"> will provide technical advisory services</w:t>
      </w:r>
      <w:r w:rsidRPr="000B5517">
        <w:rPr>
          <w:rFonts w:cs="Calibri"/>
          <w:color w:val="000000"/>
          <w:szCs w:val="22"/>
        </w:rPr>
        <w:t>.</w:t>
      </w:r>
    </w:p>
    <w:p w14:paraId="080DD898" w14:textId="5420DB9E" w:rsidR="00153DFE" w:rsidRPr="00831CCB" w:rsidRDefault="00153DFE" w:rsidP="00153DFE">
      <w:pPr>
        <w:pStyle w:val="Level4Number"/>
        <w:rPr>
          <w:rFonts w:cs="Calibri"/>
          <w:szCs w:val="22"/>
        </w:rPr>
      </w:pPr>
      <w:r>
        <w:rPr>
          <w:rFonts w:cs="Calibri"/>
          <w:color w:val="000000"/>
          <w:szCs w:val="22"/>
        </w:rPr>
        <w:t>Each of the documents above is available for inspection by Token Holders and prospective investors upon request to the Fund Manager.</w:t>
      </w:r>
    </w:p>
    <w:p w14:paraId="478260CB" w14:textId="77777777" w:rsidR="00153DFE" w:rsidRPr="00831CCB" w:rsidRDefault="00153DFE" w:rsidP="00153DFE">
      <w:pPr>
        <w:pStyle w:val="Level3Number"/>
        <w:rPr>
          <w:rFonts w:cs="Calibri"/>
          <w:szCs w:val="22"/>
        </w:rPr>
      </w:pPr>
      <w:r w:rsidRPr="00153DFE">
        <w:rPr>
          <w:rFonts w:cs="Calibri"/>
        </w:rPr>
        <w:t>Fund</w:t>
      </w:r>
      <w:r w:rsidRPr="00831CCB">
        <w:rPr>
          <w:rFonts w:cs="Calibri"/>
          <w:color w:val="000000"/>
          <w:szCs w:val="22"/>
        </w:rPr>
        <w:t xml:space="preserve"> Management</w:t>
      </w:r>
    </w:p>
    <w:p w14:paraId="6FC82FFF" w14:textId="56E4F25D" w:rsidR="00153DFE" w:rsidRPr="00831CCB" w:rsidRDefault="00153DFE" w:rsidP="00153DFE">
      <w:pPr>
        <w:spacing w:after="240" w:line="240" w:lineRule="auto"/>
        <w:ind w:left="720"/>
        <w:rPr>
          <w:rFonts w:ascii="Calibri" w:hAnsi="Calibri" w:cs="Calibri"/>
          <w:b/>
          <w:sz w:val="22"/>
          <w:szCs w:val="22"/>
        </w:rPr>
      </w:pPr>
      <w:r w:rsidRPr="00831CCB">
        <w:rPr>
          <w:rFonts w:ascii="Calibri" w:hAnsi="Calibri" w:cs="Calibri"/>
          <w:color w:val="000000"/>
          <w:sz w:val="22"/>
          <w:szCs w:val="22"/>
        </w:rPr>
        <w:t xml:space="preserve">Day to day management of the Fund will be undertaken by </w:t>
      </w:r>
      <w:r>
        <w:rPr>
          <w:rFonts w:ascii="Calibri" w:hAnsi="Calibri" w:cs="Calibri"/>
          <w:color w:val="000000"/>
          <w:sz w:val="22"/>
          <w:szCs w:val="22"/>
        </w:rPr>
        <w:t>the Fund Manager</w:t>
      </w:r>
      <w:r w:rsidRPr="00831CCB">
        <w:rPr>
          <w:rFonts w:ascii="Calibri" w:hAnsi="Calibri" w:cs="Calibri"/>
          <w:color w:val="000000"/>
          <w:sz w:val="22"/>
          <w:szCs w:val="22"/>
        </w:rPr>
        <w:t>.  The Fund's investment objectives will be narrow and deployed immediately into ETFs investing in U.S. Treasury Bills.  The Fund will not actively trade, except that any distributions paid to the Fund from the underlying investments will be reinvested in the same products then held by the Fund.</w:t>
      </w:r>
      <w:r w:rsidR="000B5517">
        <w:rPr>
          <w:rFonts w:ascii="Calibri" w:hAnsi="Calibri" w:cs="Calibri"/>
          <w:color w:val="000000"/>
          <w:sz w:val="22"/>
          <w:szCs w:val="22"/>
        </w:rPr>
        <w:t xml:space="preserve">  The Fund may elect later to invest directly into U.S. Treasury </w:t>
      </w:r>
      <w:proofErr w:type="gramStart"/>
      <w:r w:rsidR="000B5517">
        <w:rPr>
          <w:rFonts w:ascii="Calibri" w:hAnsi="Calibri" w:cs="Calibri"/>
          <w:color w:val="000000"/>
          <w:sz w:val="22"/>
          <w:szCs w:val="22"/>
        </w:rPr>
        <w:t>Bills, or</w:t>
      </w:r>
      <w:proofErr w:type="gramEnd"/>
      <w:r w:rsidR="000B5517">
        <w:rPr>
          <w:rFonts w:ascii="Calibri" w:hAnsi="Calibri" w:cs="Calibri"/>
          <w:color w:val="000000"/>
          <w:sz w:val="22"/>
          <w:szCs w:val="22"/>
        </w:rPr>
        <w:t xml:space="preserve"> make additional investments indirectly.</w:t>
      </w:r>
    </w:p>
    <w:p w14:paraId="6DE64B2F" w14:textId="77777777" w:rsidR="00153DFE" w:rsidRPr="00831CCB" w:rsidRDefault="00153DFE" w:rsidP="00153DFE">
      <w:pPr>
        <w:pStyle w:val="Level3Number"/>
        <w:rPr>
          <w:rFonts w:cs="Calibri"/>
          <w:szCs w:val="22"/>
        </w:rPr>
      </w:pPr>
      <w:r w:rsidRPr="00153DFE">
        <w:rPr>
          <w:rFonts w:cs="Calibri"/>
        </w:rPr>
        <w:t>Transfer</w:t>
      </w:r>
      <w:r w:rsidRPr="00831CCB">
        <w:rPr>
          <w:rFonts w:cs="Calibri"/>
          <w:color w:val="000000"/>
          <w:szCs w:val="22"/>
        </w:rPr>
        <w:t xml:space="preserve"> of Tokens</w:t>
      </w:r>
    </w:p>
    <w:p w14:paraId="36DF4C86" w14:textId="77777777" w:rsidR="00153DFE" w:rsidRPr="00831CCB" w:rsidRDefault="00153DFE" w:rsidP="00153DFE">
      <w:pPr>
        <w:spacing w:after="240" w:line="240" w:lineRule="auto"/>
        <w:ind w:left="709"/>
        <w:rPr>
          <w:rFonts w:ascii="Calibri" w:hAnsi="Calibri" w:cs="Calibri"/>
          <w:b/>
          <w:sz w:val="22"/>
          <w:szCs w:val="22"/>
        </w:rPr>
      </w:pPr>
      <w:r>
        <w:rPr>
          <w:rFonts w:ascii="Calibri" w:hAnsi="Calibri" w:cs="Calibri"/>
          <w:color w:val="000000"/>
          <w:sz w:val="22"/>
          <w:szCs w:val="22"/>
        </w:rPr>
        <w:t xml:space="preserve">Legal ownership of Tokens may only be transferred in accordance with ADGM Laws, FSRA Rules, and the Articles, and </w:t>
      </w:r>
      <w:proofErr w:type="gramStart"/>
      <w:r>
        <w:rPr>
          <w:rFonts w:ascii="Calibri" w:hAnsi="Calibri" w:cs="Calibri"/>
          <w:color w:val="000000"/>
          <w:sz w:val="22"/>
          <w:szCs w:val="22"/>
        </w:rPr>
        <w:t>in particular only</w:t>
      </w:r>
      <w:proofErr w:type="gramEnd"/>
      <w:r>
        <w:rPr>
          <w:rFonts w:ascii="Calibri" w:hAnsi="Calibri" w:cs="Calibri"/>
          <w:color w:val="000000"/>
          <w:sz w:val="22"/>
          <w:szCs w:val="22"/>
        </w:rPr>
        <w:t xml:space="preserve"> to fully vetted and compliance checked Professional Clients</w:t>
      </w:r>
      <w:r w:rsidRPr="00831CCB">
        <w:rPr>
          <w:rFonts w:ascii="Calibri" w:hAnsi="Calibri" w:cs="Calibri"/>
          <w:color w:val="000000"/>
          <w:sz w:val="22"/>
          <w:szCs w:val="22"/>
        </w:rPr>
        <w:t>.</w:t>
      </w:r>
    </w:p>
    <w:p w14:paraId="2F8793A9" w14:textId="77777777" w:rsidR="00153DFE" w:rsidRPr="00831CCB" w:rsidRDefault="00153DFE" w:rsidP="00153DFE">
      <w:pPr>
        <w:pStyle w:val="Level3Number"/>
        <w:rPr>
          <w:rFonts w:cs="Calibri"/>
          <w:szCs w:val="22"/>
        </w:rPr>
      </w:pPr>
      <w:r w:rsidRPr="00153DFE">
        <w:rPr>
          <w:rFonts w:cs="Calibri"/>
        </w:rPr>
        <w:t>Redemptions</w:t>
      </w:r>
    </w:p>
    <w:p w14:paraId="384DF6F6" w14:textId="6534FFAF" w:rsidR="00153DFE" w:rsidRPr="00831CCB" w:rsidRDefault="00153DFE" w:rsidP="00153DFE">
      <w:pPr>
        <w:spacing w:after="240" w:line="240" w:lineRule="auto"/>
        <w:ind w:left="720"/>
        <w:rPr>
          <w:rFonts w:ascii="Calibri" w:hAnsi="Calibri" w:cs="Calibri"/>
          <w:b/>
          <w:sz w:val="22"/>
          <w:szCs w:val="22"/>
        </w:rPr>
      </w:pPr>
      <w:r>
        <w:rPr>
          <w:rFonts w:ascii="Calibri" w:hAnsi="Calibri" w:cs="Calibri"/>
          <w:color w:val="000000"/>
          <w:sz w:val="22"/>
          <w:szCs w:val="22"/>
        </w:rPr>
        <w:t xml:space="preserve">Redemptions are made in accordance with the Articles (see </w:t>
      </w:r>
      <w:r w:rsidR="000B5517">
        <w:rPr>
          <w:rFonts w:ascii="Calibri" w:hAnsi="Calibri" w:cs="Calibri"/>
          <w:color w:val="000000"/>
          <w:sz w:val="22"/>
          <w:szCs w:val="22"/>
        </w:rPr>
        <w:t>Part</w:t>
      </w:r>
      <w:r>
        <w:rPr>
          <w:rFonts w:ascii="Calibri" w:hAnsi="Calibri" w:cs="Calibri"/>
          <w:color w:val="000000"/>
          <w:sz w:val="22"/>
          <w:szCs w:val="22"/>
        </w:rPr>
        <w:t xml:space="preserve"> </w:t>
      </w:r>
      <w:r>
        <w:rPr>
          <w:rFonts w:ascii="Calibri" w:hAnsi="Calibri" w:cs="Calibri"/>
          <w:color w:val="000000"/>
          <w:sz w:val="22"/>
          <w:szCs w:val="22"/>
        </w:rPr>
        <w:fldChar w:fldCharType="begin"/>
      </w:r>
      <w:r>
        <w:rPr>
          <w:rFonts w:ascii="Calibri" w:hAnsi="Calibri" w:cs="Calibri"/>
          <w:color w:val="000000"/>
          <w:sz w:val="22"/>
          <w:szCs w:val="22"/>
        </w:rPr>
        <w:instrText xml:space="preserve"> REF _Ref169612802 \w \h </w:instrText>
      </w:r>
      <w:r>
        <w:rPr>
          <w:rFonts w:ascii="Calibri" w:hAnsi="Calibri" w:cs="Calibri"/>
          <w:color w:val="000000"/>
          <w:sz w:val="22"/>
          <w:szCs w:val="22"/>
        </w:rPr>
      </w:r>
      <w:r>
        <w:rPr>
          <w:rFonts w:ascii="Calibri" w:hAnsi="Calibri" w:cs="Calibri"/>
          <w:color w:val="000000"/>
          <w:sz w:val="22"/>
          <w:szCs w:val="22"/>
        </w:rPr>
        <w:fldChar w:fldCharType="separate"/>
      </w:r>
      <w:r>
        <w:rPr>
          <w:rFonts w:ascii="Calibri" w:hAnsi="Calibri" w:cs="Calibri"/>
          <w:color w:val="000000"/>
          <w:sz w:val="22"/>
          <w:szCs w:val="22"/>
        </w:rPr>
        <w:t>V</w:t>
      </w:r>
      <w:r>
        <w:rPr>
          <w:rFonts w:ascii="Calibri" w:hAnsi="Calibri" w:cs="Calibri"/>
          <w:color w:val="000000"/>
          <w:sz w:val="22"/>
          <w:szCs w:val="22"/>
        </w:rPr>
        <w:fldChar w:fldCharType="end"/>
      </w:r>
      <w:r>
        <w:rPr>
          <w:rFonts w:ascii="Calibri" w:hAnsi="Calibri" w:cs="Calibri"/>
          <w:color w:val="000000"/>
          <w:sz w:val="22"/>
          <w:szCs w:val="22"/>
        </w:rPr>
        <w:t xml:space="preserve"> </w:t>
      </w:r>
      <w:r w:rsidR="000B5517">
        <w:rPr>
          <w:rFonts w:ascii="Calibri" w:hAnsi="Calibri" w:cs="Calibri"/>
          <w:color w:val="000000"/>
          <w:sz w:val="22"/>
          <w:szCs w:val="22"/>
        </w:rPr>
        <w:t xml:space="preserve">of this Prospectus </w:t>
      </w:r>
      <w:r>
        <w:rPr>
          <w:rFonts w:ascii="Calibri" w:hAnsi="Calibri" w:cs="Calibri"/>
          <w:color w:val="000000"/>
          <w:sz w:val="22"/>
          <w:szCs w:val="22"/>
        </w:rPr>
        <w:t>for more information and details)</w:t>
      </w:r>
      <w:r w:rsidRPr="00831CCB">
        <w:rPr>
          <w:rFonts w:ascii="Calibri" w:hAnsi="Calibri" w:cs="Calibri"/>
          <w:color w:val="000000"/>
          <w:sz w:val="22"/>
          <w:szCs w:val="22"/>
        </w:rPr>
        <w:t>.</w:t>
      </w:r>
    </w:p>
    <w:p w14:paraId="22081103" w14:textId="77777777" w:rsidR="00153DFE" w:rsidRDefault="00153DFE" w:rsidP="00153DFE">
      <w:pPr>
        <w:pStyle w:val="Level3Number"/>
        <w:rPr>
          <w:rFonts w:cs="Calibri"/>
          <w:szCs w:val="22"/>
        </w:rPr>
      </w:pPr>
      <w:r w:rsidRPr="00153DFE">
        <w:rPr>
          <w:rFonts w:cs="Calibri"/>
        </w:rPr>
        <w:t>Distributions</w:t>
      </w:r>
    </w:p>
    <w:p w14:paraId="2A816B2B" w14:textId="58DC2CDD" w:rsidR="00153DFE" w:rsidRPr="00AA6D41" w:rsidRDefault="00153DFE" w:rsidP="00153DFE">
      <w:pPr>
        <w:spacing w:after="240" w:line="240" w:lineRule="auto"/>
        <w:ind w:left="720"/>
        <w:rPr>
          <w:rFonts w:ascii="Calibri" w:hAnsi="Calibri" w:cs="Calibri"/>
          <w:sz w:val="22"/>
          <w:szCs w:val="22"/>
        </w:rPr>
      </w:pPr>
      <w:r w:rsidRPr="00AA6D41">
        <w:rPr>
          <w:rFonts w:ascii="Calibri" w:hAnsi="Calibri" w:cs="Calibri"/>
          <w:color w:val="000000"/>
          <w:sz w:val="22"/>
          <w:szCs w:val="22"/>
        </w:rPr>
        <w:t xml:space="preserve">The Fund may receive income from its </w:t>
      </w:r>
      <w:proofErr w:type="gramStart"/>
      <w:r w:rsidRPr="00AA6D41">
        <w:rPr>
          <w:rFonts w:ascii="Calibri" w:hAnsi="Calibri" w:cs="Calibri"/>
          <w:color w:val="000000"/>
          <w:sz w:val="22"/>
          <w:szCs w:val="22"/>
        </w:rPr>
        <w:t>assets,</w:t>
      </w:r>
      <w:proofErr w:type="gramEnd"/>
      <w:r w:rsidRPr="00AA6D41">
        <w:rPr>
          <w:rFonts w:ascii="Calibri" w:hAnsi="Calibri" w:cs="Calibri"/>
          <w:color w:val="000000"/>
          <w:sz w:val="22"/>
          <w:szCs w:val="22"/>
        </w:rPr>
        <w:t xml:space="preserve"> however, the Fund </w:t>
      </w:r>
      <w:r w:rsidRPr="00153DFE">
        <w:rPr>
          <w:rFonts w:ascii="Calibri" w:hAnsi="Calibri" w:cs="Calibri"/>
          <w:color w:val="000000"/>
          <w:sz w:val="22"/>
          <w:szCs w:val="22"/>
        </w:rPr>
        <w:t>will not</w:t>
      </w:r>
      <w:r w:rsidRPr="00AA6D41">
        <w:rPr>
          <w:rFonts w:ascii="Calibri" w:hAnsi="Calibri" w:cs="Calibri"/>
          <w:color w:val="000000"/>
          <w:sz w:val="22"/>
          <w:szCs w:val="22"/>
        </w:rPr>
        <w:t xml:space="preserve"> make any distributions to the Tokens at such time. Instead, any such distributions will be utilised by the Fund to acquire more units in the existing portfolio of investments.</w:t>
      </w:r>
    </w:p>
    <w:p w14:paraId="6F66D54D" w14:textId="77777777" w:rsidR="00153DFE" w:rsidRPr="00831CCB" w:rsidRDefault="00153DFE" w:rsidP="00153DFE">
      <w:pPr>
        <w:pStyle w:val="Level3Number"/>
        <w:rPr>
          <w:rFonts w:cs="Calibri"/>
          <w:szCs w:val="22"/>
        </w:rPr>
      </w:pPr>
      <w:r w:rsidRPr="00153DFE">
        <w:rPr>
          <w:rFonts w:cs="Calibri"/>
        </w:rPr>
        <w:t>Rights</w:t>
      </w:r>
      <w:r w:rsidRPr="00831CCB">
        <w:rPr>
          <w:rFonts w:cs="Calibri"/>
          <w:color w:val="000000"/>
          <w:szCs w:val="22"/>
        </w:rPr>
        <w:t xml:space="preserve"> of Token Holders</w:t>
      </w:r>
    </w:p>
    <w:p w14:paraId="5711E04F" w14:textId="77777777" w:rsidR="00153DFE" w:rsidRPr="00831CCB" w:rsidRDefault="00153DFE" w:rsidP="00153DFE">
      <w:pPr>
        <w:spacing w:after="240" w:line="240" w:lineRule="auto"/>
        <w:ind w:left="720"/>
        <w:rPr>
          <w:rFonts w:ascii="Calibri" w:hAnsi="Calibri" w:cs="Calibri"/>
          <w:b/>
          <w:sz w:val="22"/>
          <w:szCs w:val="22"/>
        </w:rPr>
      </w:pPr>
      <w:r>
        <w:rPr>
          <w:rFonts w:ascii="Calibri" w:hAnsi="Calibri" w:cs="Calibri"/>
          <w:color w:val="000000"/>
          <w:sz w:val="22"/>
          <w:szCs w:val="22"/>
        </w:rPr>
        <w:t>The rights of Token Holders are entrenched in the Articles, of which a contractual nexus exists between the Fund and the Token Holders.  Any subsequent transferee of a Token, or a fraction of a Token, will sign customary documents adhering to the various Fund documents binding it to the obligations thereunder and affording it there rights therein</w:t>
      </w:r>
      <w:r w:rsidRPr="00831CCB">
        <w:rPr>
          <w:rFonts w:ascii="Calibri" w:hAnsi="Calibri" w:cs="Calibri"/>
          <w:color w:val="000000"/>
          <w:sz w:val="22"/>
          <w:szCs w:val="22"/>
        </w:rPr>
        <w:t>.</w:t>
      </w:r>
    </w:p>
    <w:p w14:paraId="63D721EB" w14:textId="77777777" w:rsidR="00153DFE" w:rsidRDefault="00153DFE" w:rsidP="00153DFE">
      <w:pPr>
        <w:pStyle w:val="Level3Number"/>
        <w:rPr>
          <w:rFonts w:cs="Calibri"/>
          <w:szCs w:val="22"/>
        </w:rPr>
      </w:pPr>
      <w:r w:rsidRPr="00153DFE">
        <w:rPr>
          <w:rFonts w:cs="Calibri"/>
        </w:rPr>
        <w:t>Token</w:t>
      </w:r>
      <w:r w:rsidRPr="00831CCB">
        <w:rPr>
          <w:rFonts w:cs="Calibri"/>
          <w:color w:val="000000"/>
          <w:szCs w:val="22"/>
        </w:rPr>
        <w:t xml:space="preserve"> Holder Ledger </w:t>
      </w:r>
    </w:p>
    <w:p w14:paraId="4F3D31CD" w14:textId="2C4F3FE1" w:rsidR="00153DFE" w:rsidRPr="00AA6D41" w:rsidRDefault="00153DFE" w:rsidP="00153DFE">
      <w:pPr>
        <w:spacing w:after="240" w:line="240" w:lineRule="auto"/>
        <w:ind w:left="720"/>
        <w:rPr>
          <w:rFonts w:ascii="Calibri" w:hAnsi="Calibri" w:cs="Calibri"/>
          <w:sz w:val="22"/>
          <w:szCs w:val="22"/>
        </w:rPr>
      </w:pPr>
      <w:r w:rsidRPr="00AA6D41">
        <w:rPr>
          <w:rFonts w:ascii="Calibri" w:hAnsi="Calibri" w:cs="Calibri"/>
          <w:color w:val="000000"/>
          <w:sz w:val="22"/>
          <w:szCs w:val="22"/>
        </w:rPr>
        <w:lastRenderedPageBreak/>
        <w:t xml:space="preserve">The share register of a Fund will be replaced by a ledger that is live and affirmed through the blockchain.  The ledger contains the ERC20 address of all wallets that holder all or part of a Token.  This ledger is accessible 24/7/365.  </w:t>
      </w:r>
      <w:r>
        <w:rPr>
          <w:rFonts w:ascii="Calibri" w:hAnsi="Calibri" w:cs="Calibri"/>
          <w:color w:val="000000"/>
          <w:sz w:val="22"/>
          <w:szCs w:val="22"/>
        </w:rPr>
        <w:t xml:space="preserve"> In addition, the Fund Manager shall maintain a physical unitholder register.</w:t>
      </w:r>
    </w:p>
    <w:p w14:paraId="79AC61DB" w14:textId="77777777" w:rsidR="00153DFE" w:rsidRPr="00831CCB" w:rsidRDefault="00153DFE" w:rsidP="00153DFE">
      <w:pPr>
        <w:pStyle w:val="Level3Number"/>
        <w:rPr>
          <w:rFonts w:cs="Calibri"/>
          <w:szCs w:val="22"/>
        </w:rPr>
      </w:pPr>
      <w:r w:rsidRPr="00153DFE">
        <w:rPr>
          <w:rFonts w:cs="Calibri"/>
        </w:rPr>
        <w:t>Sanctioned</w:t>
      </w:r>
      <w:r w:rsidRPr="00831CCB">
        <w:rPr>
          <w:rFonts w:cs="Calibri"/>
          <w:color w:val="000000"/>
          <w:szCs w:val="22"/>
        </w:rPr>
        <w:t xml:space="preserve"> Persons</w:t>
      </w:r>
    </w:p>
    <w:p w14:paraId="65330D56" w14:textId="77777777" w:rsidR="00153DFE" w:rsidRPr="00831CCB" w:rsidRDefault="00153DFE" w:rsidP="00153DFE">
      <w:pPr>
        <w:pStyle w:val="Level4Number"/>
        <w:rPr>
          <w:rFonts w:cs="Calibri"/>
          <w:b/>
          <w:szCs w:val="22"/>
        </w:rPr>
      </w:pPr>
      <w:r w:rsidRPr="00831CCB">
        <w:rPr>
          <w:rFonts w:cs="Calibri"/>
          <w:color w:val="000000"/>
          <w:szCs w:val="22"/>
        </w:rPr>
        <w:t xml:space="preserve">The Tokens have embedded technology to enable it to be identified if a Token is acquired by a sanctioned person.  The Fund will partner with </w:t>
      </w:r>
      <w:proofErr w:type="spellStart"/>
      <w:r w:rsidRPr="00831CCB">
        <w:rPr>
          <w:rFonts w:cs="Calibri"/>
          <w:color w:val="000000"/>
          <w:szCs w:val="22"/>
        </w:rPr>
        <w:t>ChainAnalysis</w:t>
      </w:r>
      <w:proofErr w:type="spellEnd"/>
      <w:r w:rsidRPr="00831CCB">
        <w:rPr>
          <w:rFonts w:cs="Calibri"/>
          <w:color w:val="000000"/>
          <w:szCs w:val="22"/>
          <w:vertAlign w:val="superscript"/>
        </w:rPr>
        <w:footnoteReference w:id="1"/>
      </w:r>
      <w:r w:rsidRPr="00831CCB">
        <w:rPr>
          <w:rFonts w:cs="Calibri"/>
          <w:color w:val="000000"/>
          <w:szCs w:val="22"/>
        </w:rPr>
        <w:t xml:space="preserve"> or similar </w:t>
      </w:r>
      <w:r w:rsidRPr="00831CCB">
        <w:rPr>
          <w:rFonts w:cs="Calibri"/>
          <w:szCs w:val="22"/>
        </w:rPr>
        <w:t>approved service</w:t>
      </w:r>
      <w:r w:rsidRPr="00831CCB">
        <w:rPr>
          <w:rFonts w:cs="Calibri"/>
          <w:color w:val="000000"/>
          <w:szCs w:val="22"/>
        </w:rPr>
        <w:t xml:space="preserve"> providers which is a global leader in ensuring integrity and protection in crypto assets.  </w:t>
      </w:r>
    </w:p>
    <w:p w14:paraId="729382F7" w14:textId="166340F0" w:rsidR="00153DFE" w:rsidRPr="000B5517" w:rsidRDefault="00153DFE" w:rsidP="00153DFE">
      <w:pPr>
        <w:pStyle w:val="Level4Number"/>
        <w:rPr>
          <w:rFonts w:cs="Calibri"/>
          <w:b/>
          <w:szCs w:val="22"/>
        </w:rPr>
      </w:pPr>
      <w:r w:rsidRPr="00831CCB">
        <w:rPr>
          <w:rFonts w:cs="Calibri"/>
          <w:color w:val="000000"/>
          <w:szCs w:val="22"/>
        </w:rPr>
        <w:t xml:space="preserve">The technology serves to prevent wallets that are sanctioned or flagged </w:t>
      </w:r>
      <w:r w:rsidRPr="00831CCB">
        <w:rPr>
          <w:rFonts w:cs="Calibri"/>
          <w:szCs w:val="22"/>
        </w:rPr>
        <w:t xml:space="preserve">transferring or </w:t>
      </w:r>
      <w:r w:rsidRPr="00153DFE">
        <w:rPr>
          <w:rFonts w:cs="Calibri"/>
          <w:color w:val="000000"/>
          <w:szCs w:val="22"/>
        </w:rPr>
        <w:t>benefiting</w:t>
      </w:r>
      <w:r w:rsidRPr="00831CCB">
        <w:rPr>
          <w:rFonts w:cs="Calibri"/>
          <w:szCs w:val="22"/>
        </w:rPr>
        <w:t xml:space="preserve"> from</w:t>
      </w:r>
      <w:r w:rsidRPr="00831CCB">
        <w:rPr>
          <w:rFonts w:cs="Calibri"/>
          <w:color w:val="000000"/>
          <w:szCs w:val="22"/>
        </w:rPr>
        <w:t xml:space="preserve"> the Tokens.  However, </w:t>
      </w:r>
      <w:proofErr w:type="gramStart"/>
      <w:r w:rsidRPr="00831CCB">
        <w:rPr>
          <w:rFonts w:cs="Calibri"/>
          <w:color w:val="000000"/>
          <w:szCs w:val="22"/>
        </w:rPr>
        <w:t>in the event that</w:t>
      </w:r>
      <w:proofErr w:type="gramEnd"/>
      <w:r w:rsidRPr="00831CCB">
        <w:rPr>
          <w:rFonts w:cs="Calibri"/>
          <w:color w:val="000000"/>
          <w:szCs w:val="22"/>
        </w:rPr>
        <w:t xml:space="preserve"> a Token is acquired by a wallet that is sanctioned or flagged</w:t>
      </w:r>
      <w:r>
        <w:rPr>
          <w:rFonts w:cs="Calibri"/>
          <w:color w:val="000000"/>
          <w:szCs w:val="22"/>
        </w:rPr>
        <w:t>, or subsequently becomes so</w:t>
      </w:r>
      <w:r w:rsidRPr="00831CCB">
        <w:rPr>
          <w:rFonts w:cs="Calibri"/>
          <w:color w:val="000000"/>
          <w:szCs w:val="22"/>
        </w:rPr>
        <w:t xml:space="preserve">, the Fund will have the ability to burn the Token immediately and no economics or payments would be due to the </w:t>
      </w:r>
      <w:r w:rsidRPr="000B5517">
        <w:rPr>
          <w:rFonts w:cs="Calibri"/>
          <w:color w:val="000000"/>
          <w:szCs w:val="22"/>
        </w:rPr>
        <w:t>Token holder.</w:t>
      </w:r>
    </w:p>
    <w:p w14:paraId="5C0471EC" w14:textId="77777777" w:rsidR="003C7E15" w:rsidRPr="006A1543" w:rsidRDefault="003C7E15" w:rsidP="003C7E15">
      <w:pPr>
        <w:pStyle w:val="Level2Heading"/>
        <w:rPr>
          <w:rFonts w:cs="Calibri"/>
          <w:b w:val="0"/>
          <w:bCs/>
          <w:smallCaps/>
          <w:szCs w:val="22"/>
        </w:rPr>
      </w:pPr>
      <w:r w:rsidRPr="000B5517">
        <w:t>Key</w:t>
      </w:r>
      <w:r w:rsidRPr="000B5517">
        <w:rPr>
          <w:rFonts w:cs="Calibri"/>
          <w:bCs/>
          <w:szCs w:val="22"/>
        </w:rPr>
        <w:t xml:space="preserve"> </w:t>
      </w:r>
      <w:r w:rsidRPr="006A1543">
        <w:rPr>
          <w:rFonts w:cs="Calibri"/>
          <w:bCs/>
          <w:szCs w:val="22"/>
        </w:rPr>
        <w:t>Regulatory Aspects of the Initial Token Offering</w:t>
      </w:r>
    </w:p>
    <w:p w14:paraId="65C016D1" w14:textId="28283DA3" w:rsidR="003C7E15" w:rsidRPr="006A1543" w:rsidRDefault="003C7E15" w:rsidP="003C7E15">
      <w:pPr>
        <w:pStyle w:val="Level3Number"/>
        <w:rPr>
          <w:rFonts w:cs="Calibri"/>
          <w:color w:val="000000"/>
          <w:szCs w:val="22"/>
        </w:rPr>
      </w:pPr>
      <w:r w:rsidRPr="006A1543">
        <w:rPr>
          <w:rFonts w:cs="Calibri"/>
          <w:color w:val="000000"/>
          <w:szCs w:val="22"/>
        </w:rPr>
        <w:t>The FSRA has issued specific overarching principles set out in the Digital Securities Guidance</w:t>
      </w:r>
      <w:r w:rsidRPr="006A1543">
        <w:rPr>
          <w:vertAlign w:val="superscript"/>
        </w:rPr>
        <w:footnoteReference w:id="2"/>
      </w:r>
      <w:r w:rsidRPr="006A1543">
        <w:rPr>
          <w:rFonts w:cs="Calibri"/>
          <w:color w:val="000000"/>
          <w:szCs w:val="22"/>
        </w:rPr>
        <w:t>, the following is a confirmation of the aspects of the Fund and its tokenisation satisfying the guidance:</w:t>
      </w:r>
    </w:p>
    <w:p w14:paraId="15383CA6" w14:textId="31C84B62" w:rsidR="003C7E15" w:rsidRPr="006A1543" w:rsidRDefault="003C7E15" w:rsidP="003C7E15">
      <w:pPr>
        <w:numPr>
          <w:ilvl w:val="2"/>
          <w:numId w:val="32"/>
        </w:numPr>
        <w:spacing w:after="240" w:line="240" w:lineRule="auto"/>
        <w:rPr>
          <w:rFonts w:ascii="Calibri" w:hAnsi="Calibri" w:cs="Calibri"/>
          <w:b/>
          <w:sz w:val="22"/>
          <w:szCs w:val="22"/>
        </w:rPr>
      </w:pPr>
      <w:r w:rsidRPr="006A1543">
        <w:rPr>
          <w:rFonts w:ascii="Calibri" w:hAnsi="Calibri" w:cs="Calibri"/>
          <w:i/>
          <w:color w:val="000000"/>
          <w:sz w:val="22"/>
          <w:szCs w:val="22"/>
        </w:rPr>
        <w:t>Technology governance and controls</w:t>
      </w:r>
      <w:r w:rsidRPr="006A1543">
        <w:rPr>
          <w:rFonts w:ascii="Calibri" w:hAnsi="Calibri" w:cs="Calibri"/>
          <w:color w:val="000000"/>
          <w:sz w:val="22"/>
          <w:szCs w:val="22"/>
        </w:rPr>
        <w:t xml:space="preserve">. </w:t>
      </w:r>
      <w:r w:rsidR="006A1543" w:rsidRPr="006A1543">
        <w:rPr>
          <w:rFonts w:ascii="Calibri" w:hAnsi="Calibri" w:cs="Calibri"/>
          <w:color w:val="000000"/>
          <w:sz w:val="22"/>
          <w:szCs w:val="22"/>
        </w:rPr>
        <w:t xml:space="preserve"> The </w:t>
      </w:r>
      <w:proofErr w:type="spellStart"/>
      <w:r w:rsidR="006A1543" w:rsidRPr="006A1543">
        <w:rPr>
          <w:rFonts w:ascii="Calibri" w:hAnsi="Calibri" w:cs="Calibri"/>
          <w:color w:val="000000"/>
          <w:sz w:val="22"/>
          <w:szCs w:val="22"/>
        </w:rPr>
        <w:t>Tokenisor</w:t>
      </w:r>
      <w:proofErr w:type="spellEnd"/>
      <w:r w:rsidR="006A1543" w:rsidRPr="006A1543">
        <w:rPr>
          <w:rFonts w:ascii="Calibri" w:hAnsi="Calibri" w:cs="Calibri"/>
          <w:color w:val="000000"/>
          <w:sz w:val="22"/>
          <w:szCs w:val="22"/>
        </w:rPr>
        <w:t xml:space="preserve"> and the Technical Advisor have extensive experience in the tokenisation sector.</w:t>
      </w:r>
    </w:p>
    <w:p w14:paraId="297B7549" w14:textId="3027B69B" w:rsidR="003C7E15" w:rsidRPr="006A1543" w:rsidRDefault="003C7E15" w:rsidP="003C7E15">
      <w:pPr>
        <w:numPr>
          <w:ilvl w:val="2"/>
          <w:numId w:val="32"/>
        </w:numPr>
        <w:spacing w:after="240" w:line="240" w:lineRule="auto"/>
        <w:rPr>
          <w:rFonts w:ascii="Calibri" w:hAnsi="Calibri" w:cs="Calibri"/>
          <w:b/>
          <w:sz w:val="22"/>
          <w:szCs w:val="22"/>
        </w:rPr>
      </w:pPr>
      <w:r w:rsidRPr="006A1543">
        <w:rPr>
          <w:rFonts w:ascii="Calibri" w:hAnsi="Calibri" w:cs="Calibri"/>
          <w:i/>
          <w:color w:val="000000"/>
          <w:sz w:val="22"/>
          <w:szCs w:val="22"/>
        </w:rPr>
        <w:t>Controls related to DLT use and access, and the impact this has on how tokens are offered, issued and traded</w:t>
      </w:r>
      <w:r w:rsidRPr="006A1543">
        <w:rPr>
          <w:rFonts w:ascii="Calibri" w:hAnsi="Calibri" w:cs="Calibri"/>
          <w:color w:val="000000"/>
          <w:sz w:val="22"/>
          <w:szCs w:val="22"/>
        </w:rPr>
        <w:t xml:space="preserve">.  </w:t>
      </w:r>
      <w:r w:rsidR="006A1543" w:rsidRPr="006A1543">
        <w:rPr>
          <w:rFonts w:ascii="Calibri" w:hAnsi="Calibri" w:cs="Calibri"/>
          <w:color w:val="000000"/>
          <w:sz w:val="22"/>
          <w:szCs w:val="22"/>
        </w:rPr>
        <w:t xml:space="preserve"> All DLT access and use is monitored and utilises the </w:t>
      </w:r>
      <w:proofErr w:type="spellStart"/>
      <w:r w:rsidR="006A1543" w:rsidRPr="006A1543">
        <w:rPr>
          <w:rFonts w:ascii="Calibri" w:hAnsi="Calibri" w:cs="Calibri"/>
          <w:color w:val="000000"/>
          <w:sz w:val="22"/>
          <w:szCs w:val="22"/>
        </w:rPr>
        <w:t>Tokenisor's</w:t>
      </w:r>
      <w:proofErr w:type="spellEnd"/>
      <w:r w:rsidR="006A1543" w:rsidRPr="006A1543">
        <w:rPr>
          <w:rFonts w:ascii="Calibri" w:hAnsi="Calibri" w:cs="Calibri"/>
          <w:color w:val="000000"/>
          <w:sz w:val="22"/>
          <w:szCs w:val="22"/>
        </w:rPr>
        <w:t xml:space="preserve"> technology in line with best practices and all applicable laws.</w:t>
      </w:r>
    </w:p>
    <w:p w14:paraId="004F4837" w14:textId="4AAA6CCC" w:rsidR="003C7E15" w:rsidRPr="006A1543" w:rsidRDefault="003C7E15" w:rsidP="003C7E15">
      <w:pPr>
        <w:numPr>
          <w:ilvl w:val="2"/>
          <w:numId w:val="32"/>
        </w:numPr>
        <w:spacing w:after="240" w:line="240" w:lineRule="auto"/>
        <w:rPr>
          <w:rFonts w:ascii="Calibri" w:hAnsi="Calibri" w:cs="Calibri"/>
          <w:b/>
          <w:sz w:val="22"/>
          <w:szCs w:val="22"/>
        </w:rPr>
      </w:pPr>
      <w:r w:rsidRPr="006A1543">
        <w:rPr>
          <w:rFonts w:ascii="Calibri" w:hAnsi="Calibri" w:cs="Calibri"/>
          <w:i/>
          <w:color w:val="000000"/>
          <w:sz w:val="22"/>
          <w:szCs w:val="22"/>
        </w:rPr>
        <w:t>Logistics behind subscribing to an offer</w:t>
      </w:r>
      <w:r w:rsidRPr="006A1543">
        <w:rPr>
          <w:rFonts w:ascii="Calibri" w:hAnsi="Calibri" w:cs="Calibri"/>
          <w:color w:val="000000"/>
          <w:sz w:val="22"/>
          <w:szCs w:val="22"/>
        </w:rPr>
        <w:t>.</w:t>
      </w:r>
      <w:r w:rsidR="006A1543" w:rsidRPr="006A1543">
        <w:rPr>
          <w:rFonts w:ascii="Calibri" w:hAnsi="Calibri" w:cs="Calibri"/>
          <w:color w:val="000000"/>
          <w:sz w:val="22"/>
          <w:szCs w:val="22"/>
        </w:rPr>
        <w:t xml:space="preserve">  All logistic and technology relating to subscriptions are </w:t>
      </w:r>
      <w:proofErr w:type="gramStart"/>
      <w:r w:rsidR="006A1543" w:rsidRPr="006A1543">
        <w:rPr>
          <w:rFonts w:ascii="Calibri" w:hAnsi="Calibri" w:cs="Calibri"/>
          <w:color w:val="000000"/>
          <w:sz w:val="22"/>
          <w:szCs w:val="22"/>
        </w:rPr>
        <w:t>manage</w:t>
      </w:r>
      <w:proofErr w:type="gramEnd"/>
      <w:r w:rsidR="006A1543" w:rsidRPr="006A1543">
        <w:rPr>
          <w:rFonts w:ascii="Calibri" w:hAnsi="Calibri" w:cs="Calibri"/>
          <w:color w:val="000000"/>
          <w:sz w:val="22"/>
          <w:szCs w:val="22"/>
        </w:rPr>
        <w:t xml:space="preserve"> by the Fund Manager, Administrator and </w:t>
      </w:r>
      <w:proofErr w:type="spellStart"/>
      <w:r w:rsidR="006A1543" w:rsidRPr="006A1543">
        <w:rPr>
          <w:rFonts w:ascii="Calibri" w:hAnsi="Calibri" w:cs="Calibri"/>
          <w:color w:val="000000"/>
          <w:sz w:val="22"/>
          <w:szCs w:val="22"/>
        </w:rPr>
        <w:t>Tokenisor</w:t>
      </w:r>
      <w:proofErr w:type="spellEnd"/>
      <w:r w:rsidR="006A1543" w:rsidRPr="006A1543">
        <w:rPr>
          <w:rFonts w:ascii="Calibri" w:hAnsi="Calibri" w:cs="Calibri"/>
          <w:color w:val="000000"/>
          <w:sz w:val="22"/>
          <w:szCs w:val="22"/>
        </w:rPr>
        <w:t xml:space="preserve"> in line with global standards and all applicable laws.</w:t>
      </w:r>
    </w:p>
    <w:p w14:paraId="7C921F86" w14:textId="786740E8" w:rsidR="003C7E15" w:rsidRPr="006A1543" w:rsidRDefault="003C7E15" w:rsidP="003C7E15">
      <w:pPr>
        <w:numPr>
          <w:ilvl w:val="2"/>
          <w:numId w:val="32"/>
        </w:numPr>
        <w:spacing w:after="240" w:line="240" w:lineRule="auto"/>
        <w:rPr>
          <w:rFonts w:ascii="Calibri" w:hAnsi="Calibri" w:cs="Calibri"/>
          <w:b/>
          <w:sz w:val="22"/>
          <w:szCs w:val="22"/>
        </w:rPr>
      </w:pPr>
      <w:r w:rsidRPr="006A1543">
        <w:rPr>
          <w:rFonts w:ascii="Calibri" w:hAnsi="Calibri" w:cs="Calibri"/>
          <w:i/>
          <w:color w:val="000000"/>
          <w:sz w:val="22"/>
          <w:szCs w:val="22"/>
        </w:rPr>
        <w:t>Market abuse, transaction reporting and misleading impressions</w:t>
      </w:r>
      <w:r w:rsidRPr="006A1543">
        <w:rPr>
          <w:rFonts w:ascii="Calibri" w:hAnsi="Calibri" w:cs="Calibri"/>
          <w:color w:val="000000"/>
          <w:sz w:val="22"/>
          <w:szCs w:val="22"/>
        </w:rPr>
        <w:t xml:space="preserve">. </w:t>
      </w:r>
      <w:r w:rsidR="006A1543" w:rsidRPr="006A1543">
        <w:rPr>
          <w:rFonts w:ascii="Calibri" w:hAnsi="Calibri" w:cs="Calibri"/>
          <w:color w:val="000000"/>
          <w:sz w:val="22"/>
          <w:szCs w:val="22"/>
        </w:rPr>
        <w:t xml:space="preserve"> Token's may only be transferred within narrow parameters as set out in the Articles, including the transferee needing to submit full KYC to the Fund. In addition, the Tokens have embedded technology to enable it to be identified if a Token is acquired by a sanctioned person.  The Fund will partner with </w:t>
      </w:r>
      <w:proofErr w:type="spellStart"/>
      <w:r w:rsidR="006A1543" w:rsidRPr="006A1543">
        <w:rPr>
          <w:rFonts w:ascii="Calibri" w:hAnsi="Calibri" w:cs="Calibri"/>
          <w:color w:val="000000"/>
          <w:sz w:val="22"/>
          <w:szCs w:val="22"/>
        </w:rPr>
        <w:t>ChainAnalysis</w:t>
      </w:r>
      <w:proofErr w:type="spellEnd"/>
      <w:r w:rsidR="006A1543" w:rsidRPr="006A1543">
        <w:rPr>
          <w:rFonts w:ascii="Calibri" w:hAnsi="Calibri" w:cs="Calibri"/>
          <w:color w:val="000000"/>
          <w:sz w:val="22"/>
          <w:szCs w:val="22"/>
          <w:vertAlign w:val="superscript"/>
        </w:rPr>
        <w:footnoteReference w:id="3"/>
      </w:r>
      <w:r w:rsidR="006A1543" w:rsidRPr="006A1543">
        <w:rPr>
          <w:rFonts w:ascii="Calibri" w:hAnsi="Calibri" w:cs="Calibri"/>
          <w:color w:val="000000"/>
          <w:sz w:val="22"/>
          <w:szCs w:val="22"/>
        </w:rPr>
        <w:t xml:space="preserve"> or similar </w:t>
      </w:r>
      <w:r w:rsidR="006A1543" w:rsidRPr="006A1543">
        <w:rPr>
          <w:rFonts w:ascii="Calibri" w:hAnsi="Calibri" w:cs="Calibri"/>
          <w:sz w:val="22"/>
          <w:szCs w:val="22"/>
        </w:rPr>
        <w:t>approved service</w:t>
      </w:r>
      <w:r w:rsidR="006A1543" w:rsidRPr="006A1543">
        <w:rPr>
          <w:rFonts w:ascii="Calibri" w:hAnsi="Calibri" w:cs="Calibri"/>
          <w:color w:val="000000"/>
          <w:sz w:val="22"/>
          <w:szCs w:val="22"/>
        </w:rPr>
        <w:t xml:space="preserve"> providers which is a global leader in ensuring integrity and protection in crypto assets.</w:t>
      </w:r>
    </w:p>
    <w:p w14:paraId="0CD044B5" w14:textId="77777777" w:rsidR="003C7E15" w:rsidRPr="006A1543" w:rsidRDefault="003C7E15" w:rsidP="003C7E15">
      <w:pPr>
        <w:numPr>
          <w:ilvl w:val="2"/>
          <w:numId w:val="32"/>
        </w:numPr>
        <w:spacing w:after="240" w:line="240" w:lineRule="auto"/>
        <w:rPr>
          <w:rFonts w:ascii="Calibri" w:hAnsi="Calibri" w:cs="Calibri"/>
          <w:b/>
          <w:sz w:val="22"/>
          <w:szCs w:val="22"/>
        </w:rPr>
      </w:pPr>
      <w:r w:rsidRPr="006A1543">
        <w:rPr>
          <w:rFonts w:ascii="Calibri" w:hAnsi="Calibri" w:cs="Calibri"/>
          <w:i/>
          <w:color w:val="000000"/>
          <w:sz w:val="22"/>
          <w:szCs w:val="22"/>
        </w:rPr>
        <w:t>Substance requirements showcasing physical commitment to the ADGM. In particular, the FSRA expects ‘mind and management’ to be located within ADGM</w:t>
      </w:r>
      <w:r w:rsidRPr="006A1543">
        <w:rPr>
          <w:rFonts w:ascii="Calibri" w:hAnsi="Calibri" w:cs="Calibri"/>
          <w:color w:val="000000"/>
          <w:sz w:val="22"/>
          <w:szCs w:val="22"/>
        </w:rPr>
        <w:t xml:space="preserve">.  </w:t>
      </w:r>
      <w:r w:rsidRPr="006A1543">
        <w:rPr>
          <w:rFonts w:ascii="Calibri" w:hAnsi="Calibri" w:cs="Calibri"/>
          <w:sz w:val="22"/>
          <w:szCs w:val="22"/>
        </w:rPr>
        <w:t>T</w:t>
      </w:r>
      <w:r w:rsidRPr="006A1543">
        <w:rPr>
          <w:rFonts w:ascii="Calibri" w:hAnsi="Calibri" w:cs="Calibri"/>
          <w:color w:val="000000"/>
          <w:sz w:val="22"/>
          <w:szCs w:val="22"/>
        </w:rPr>
        <w:t xml:space="preserve">he Fund is managed by an ADGM fund manager.  Additionally, the </w:t>
      </w:r>
      <w:r w:rsidRPr="006A1543">
        <w:rPr>
          <w:rFonts w:ascii="Calibri" w:hAnsi="Calibri" w:cs="Calibri"/>
          <w:sz w:val="22"/>
          <w:szCs w:val="22"/>
        </w:rPr>
        <w:t>supporter</w:t>
      </w:r>
      <w:r w:rsidRPr="006A1543">
        <w:rPr>
          <w:rFonts w:ascii="Calibri" w:hAnsi="Calibri" w:cs="Calibri"/>
          <w:color w:val="000000"/>
          <w:sz w:val="22"/>
          <w:szCs w:val="22"/>
        </w:rPr>
        <w:t xml:space="preserve">, IOTA, is an ADGM domiciled foundation and a key stakeholder in the digital assets sector in the UAE and ADGM, and a Realize </w:t>
      </w:r>
      <w:r w:rsidRPr="006A1543">
        <w:rPr>
          <w:rFonts w:ascii="Calibri" w:hAnsi="Calibri" w:cs="Calibri"/>
          <w:sz w:val="22"/>
          <w:szCs w:val="22"/>
        </w:rPr>
        <w:t>Technology Services Limited</w:t>
      </w:r>
      <w:r w:rsidRPr="006A1543">
        <w:rPr>
          <w:rFonts w:ascii="Calibri" w:hAnsi="Calibri" w:cs="Calibri"/>
          <w:color w:val="000000"/>
          <w:sz w:val="22"/>
          <w:szCs w:val="22"/>
        </w:rPr>
        <w:t xml:space="preserve"> provider is being established in ADGM currently.</w:t>
      </w:r>
    </w:p>
    <w:p w14:paraId="2CE87A58" w14:textId="77777777" w:rsidR="003C7E15" w:rsidRPr="003C7E15" w:rsidRDefault="003C7E15" w:rsidP="003C7E15">
      <w:pPr>
        <w:numPr>
          <w:ilvl w:val="2"/>
          <w:numId w:val="32"/>
        </w:numPr>
        <w:spacing w:after="240" w:line="240" w:lineRule="auto"/>
        <w:rPr>
          <w:rFonts w:ascii="Calibri" w:hAnsi="Calibri" w:cs="Calibri"/>
          <w:b/>
          <w:sz w:val="22"/>
          <w:szCs w:val="22"/>
        </w:rPr>
      </w:pPr>
      <w:r w:rsidRPr="003C7E15">
        <w:rPr>
          <w:rFonts w:ascii="Calibri" w:hAnsi="Calibri" w:cs="Calibri"/>
          <w:i/>
          <w:color w:val="000000"/>
          <w:sz w:val="22"/>
          <w:szCs w:val="22"/>
        </w:rPr>
        <w:lastRenderedPageBreak/>
        <w:t>Third party audit obligations</w:t>
      </w:r>
      <w:r w:rsidRPr="003C7E15">
        <w:rPr>
          <w:rFonts w:ascii="Calibri" w:hAnsi="Calibri" w:cs="Calibri"/>
          <w:color w:val="000000"/>
          <w:sz w:val="22"/>
          <w:szCs w:val="22"/>
        </w:rPr>
        <w:t xml:space="preserve">.  The Fund will adopt all </w:t>
      </w:r>
      <w:proofErr w:type="gramStart"/>
      <w:r w:rsidRPr="003C7E15">
        <w:rPr>
          <w:rFonts w:ascii="Calibri" w:hAnsi="Calibri" w:cs="Calibri"/>
          <w:color w:val="000000"/>
          <w:sz w:val="22"/>
          <w:szCs w:val="22"/>
        </w:rPr>
        <w:t>third party</w:t>
      </w:r>
      <w:proofErr w:type="gramEnd"/>
      <w:r w:rsidRPr="003C7E15">
        <w:rPr>
          <w:rFonts w:ascii="Calibri" w:hAnsi="Calibri" w:cs="Calibri"/>
          <w:color w:val="000000"/>
          <w:sz w:val="22"/>
          <w:szCs w:val="22"/>
        </w:rPr>
        <w:t xml:space="preserve"> audit obligations in line with a traditional fund and ADGM laws and rules.</w:t>
      </w:r>
    </w:p>
    <w:p w14:paraId="6DAA4A59" w14:textId="14769ABA" w:rsidR="003C7E15" w:rsidRPr="003C7E15" w:rsidRDefault="003C7E15" w:rsidP="003C7E15">
      <w:pPr>
        <w:numPr>
          <w:ilvl w:val="2"/>
          <w:numId w:val="32"/>
        </w:numPr>
        <w:spacing w:after="240" w:line="240" w:lineRule="auto"/>
        <w:rPr>
          <w:rFonts w:ascii="Calibri" w:hAnsi="Calibri" w:cs="Calibri"/>
          <w:b/>
          <w:sz w:val="22"/>
          <w:szCs w:val="22"/>
        </w:rPr>
      </w:pPr>
      <w:r w:rsidRPr="003C7E15">
        <w:rPr>
          <w:rFonts w:ascii="Calibri" w:hAnsi="Calibri" w:cs="Calibri"/>
          <w:i/>
          <w:color w:val="000000"/>
          <w:sz w:val="22"/>
          <w:szCs w:val="22"/>
        </w:rPr>
        <w:t>Third party outsourcing</w:t>
      </w:r>
      <w:r w:rsidRPr="003C7E15">
        <w:rPr>
          <w:rFonts w:ascii="Calibri" w:hAnsi="Calibri" w:cs="Calibri"/>
          <w:color w:val="000000"/>
          <w:sz w:val="22"/>
          <w:szCs w:val="22"/>
        </w:rPr>
        <w:t xml:space="preserve">.  The Fund is using leading </w:t>
      </w:r>
      <w:proofErr w:type="gramStart"/>
      <w:r w:rsidRPr="003C7E15">
        <w:rPr>
          <w:rFonts w:ascii="Calibri" w:hAnsi="Calibri" w:cs="Calibri"/>
          <w:color w:val="000000"/>
          <w:sz w:val="22"/>
          <w:szCs w:val="22"/>
        </w:rPr>
        <w:t>third party</w:t>
      </w:r>
      <w:proofErr w:type="gramEnd"/>
      <w:r w:rsidRPr="003C7E15">
        <w:rPr>
          <w:rFonts w:ascii="Calibri" w:hAnsi="Calibri" w:cs="Calibri"/>
          <w:color w:val="000000"/>
          <w:sz w:val="22"/>
          <w:szCs w:val="22"/>
        </w:rPr>
        <w:t xml:space="preserve"> service providers to assist in the management and operation of the Fund, including </w:t>
      </w:r>
      <w:r w:rsidR="001735DD">
        <w:rPr>
          <w:rFonts w:ascii="Calibri" w:hAnsi="Calibri" w:cs="Calibri"/>
          <w:color w:val="000000"/>
          <w:sz w:val="22"/>
          <w:szCs w:val="22"/>
        </w:rPr>
        <w:t>the Administrator and Fund Manager</w:t>
      </w:r>
      <w:r w:rsidRPr="003C7E15">
        <w:rPr>
          <w:rFonts w:ascii="Calibri" w:hAnsi="Calibri" w:cs="Calibri"/>
          <w:color w:val="000000"/>
          <w:sz w:val="22"/>
          <w:szCs w:val="22"/>
        </w:rPr>
        <w:t>, as well as international legal counsel and leading technical advisors.</w:t>
      </w:r>
    </w:p>
    <w:p w14:paraId="38F32401" w14:textId="77777777" w:rsidR="003C7E15" w:rsidRPr="003C7E15" w:rsidRDefault="003C7E15" w:rsidP="003C7E15">
      <w:pPr>
        <w:numPr>
          <w:ilvl w:val="2"/>
          <w:numId w:val="32"/>
        </w:numPr>
        <w:spacing w:after="240" w:line="240" w:lineRule="auto"/>
        <w:rPr>
          <w:rFonts w:ascii="Calibri" w:hAnsi="Calibri" w:cs="Calibri"/>
          <w:b/>
          <w:sz w:val="22"/>
          <w:szCs w:val="22"/>
        </w:rPr>
      </w:pPr>
      <w:r w:rsidRPr="003C7E15">
        <w:rPr>
          <w:rFonts w:ascii="Calibri" w:hAnsi="Calibri" w:cs="Calibri"/>
          <w:i/>
          <w:color w:val="000000"/>
          <w:sz w:val="22"/>
          <w:szCs w:val="22"/>
        </w:rPr>
        <w:t>Anti-money laundering and countering financing of terrorism considerations</w:t>
      </w:r>
      <w:r w:rsidRPr="003C7E15">
        <w:rPr>
          <w:rFonts w:ascii="Calibri" w:hAnsi="Calibri" w:cs="Calibri"/>
          <w:color w:val="000000"/>
          <w:sz w:val="22"/>
          <w:szCs w:val="22"/>
        </w:rPr>
        <w:t xml:space="preserve">. The Fund will adopt all AML obligations in line with a traditional fund and ADGM laws and rules. However, the Fund will have available to it more protections than a traditional fund as it has full discretion to immediately burn tokens if they are transferred to sanctioned persons and the technology entrenched in the tokens prevents it being transferred to flagged wallets. The fund </w:t>
      </w:r>
      <w:r w:rsidRPr="003C7E15">
        <w:rPr>
          <w:rFonts w:ascii="Calibri" w:hAnsi="Calibri" w:cs="Calibri"/>
          <w:sz w:val="22"/>
          <w:szCs w:val="22"/>
        </w:rPr>
        <w:t>will implement best in-class real-time monitoring of all on-chain activity and will be able to observe activity of investors and their addresses.</w:t>
      </w:r>
    </w:p>
    <w:p w14:paraId="62B914F3" w14:textId="77777777" w:rsidR="003C7E15" w:rsidRPr="003C7E15" w:rsidRDefault="003C7E15" w:rsidP="003C7E15">
      <w:pPr>
        <w:numPr>
          <w:ilvl w:val="2"/>
          <w:numId w:val="32"/>
        </w:numPr>
        <w:spacing w:after="240" w:line="240" w:lineRule="auto"/>
        <w:rPr>
          <w:rFonts w:ascii="Calibri" w:hAnsi="Calibri" w:cs="Calibri"/>
          <w:b/>
          <w:sz w:val="22"/>
          <w:szCs w:val="22"/>
        </w:rPr>
      </w:pPr>
      <w:r w:rsidRPr="003C7E15">
        <w:rPr>
          <w:rFonts w:ascii="Calibri" w:hAnsi="Calibri" w:cs="Calibri"/>
          <w:i/>
          <w:color w:val="000000"/>
          <w:sz w:val="22"/>
          <w:szCs w:val="22"/>
        </w:rPr>
        <w:t>Data protection</w:t>
      </w:r>
      <w:r w:rsidRPr="003C7E15">
        <w:rPr>
          <w:rFonts w:ascii="Calibri" w:hAnsi="Calibri" w:cs="Calibri"/>
          <w:color w:val="000000"/>
          <w:sz w:val="22"/>
          <w:szCs w:val="22"/>
        </w:rPr>
        <w:t>.  The Fund will adopt all data protection obligations in line with a traditional fund and ADGM laws and rules.</w:t>
      </w:r>
    </w:p>
    <w:p w14:paraId="71659F44" w14:textId="2A0E1DC9" w:rsidR="003C7E15" w:rsidRPr="003C7E15" w:rsidRDefault="003C7E15" w:rsidP="003C7E15">
      <w:pPr>
        <w:numPr>
          <w:ilvl w:val="2"/>
          <w:numId w:val="32"/>
        </w:numPr>
        <w:spacing w:after="240" w:line="240" w:lineRule="auto"/>
        <w:rPr>
          <w:rFonts w:ascii="Calibri" w:hAnsi="Calibri" w:cs="Calibri"/>
          <w:b/>
          <w:sz w:val="22"/>
          <w:szCs w:val="22"/>
        </w:rPr>
      </w:pPr>
      <w:r w:rsidRPr="003C7E15">
        <w:rPr>
          <w:rFonts w:ascii="Calibri" w:hAnsi="Calibri" w:cs="Calibri"/>
          <w:i/>
          <w:color w:val="000000"/>
          <w:sz w:val="22"/>
          <w:szCs w:val="22"/>
        </w:rPr>
        <w:t>International tax reporting obligations</w:t>
      </w:r>
      <w:r w:rsidRPr="003C7E15">
        <w:rPr>
          <w:rFonts w:ascii="Calibri" w:hAnsi="Calibri" w:cs="Calibri"/>
          <w:color w:val="000000"/>
          <w:sz w:val="22"/>
          <w:szCs w:val="22"/>
        </w:rPr>
        <w:t>.  The Fund will adopt all data protection obligations in line with a traditional fund and ADGM laws and rules</w:t>
      </w:r>
      <w:r w:rsidR="006A1543">
        <w:rPr>
          <w:rFonts w:ascii="Calibri" w:hAnsi="Calibri" w:cs="Calibri"/>
          <w:color w:val="000000"/>
          <w:sz w:val="22"/>
          <w:szCs w:val="22"/>
        </w:rPr>
        <w:t>.</w:t>
      </w:r>
    </w:p>
    <w:p w14:paraId="629BF09B" w14:textId="77777777" w:rsidR="003C7E15" w:rsidRPr="003C7E15" w:rsidRDefault="003C7E15" w:rsidP="003C7E15">
      <w:pPr>
        <w:numPr>
          <w:ilvl w:val="2"/>
          <w:numId w:val="32"/>
        </w:numPr>
        <w:spacing w:after="240" w:line="240" w:lineRule="auto"/>
        <w:rPr>
          <w:rFonts w:ascii="Calibri" w:hAnsi="Calibri" w:cs="Calibri"/>
          <w:b/>
          <w:sz w:val="22"/>
          <w:szCs w:val="22"/>
        </w:rPr>
      </w:pPr>
      <w:r w:rsidRPr="003C7E15">
        <w:rPr>
          <w:rFonts w:ascii="Calibri" w:hAnsi="Calibri" w:cs="Calibri"/>
          <w:i/>
          <w:color w:val="000000"/>
          <w:sz w:val="22"/>
          <w:szCs w:val="22"/>
        </w:rPr>
        <w:t>Margin trading</w:t>
      </w:r>
      <w:r w:rsidRPr="003C7E15">
        <w:rPr>
          <w:rFonts w:ascii="Calibri" w:hAnsi="Calibri" w:cs="Calibri"/>
          <w:color w:val="000000"/>
          <w:sz w:val="22"/>
          <w:szCs w:val="22"/>
        </w:rPr>
        <w:t xml:space="preserve">. Not applicable, as the Fund will not </w:t>
      </w:r>
      <w:r w:rsidRPr="003C7E15">
        <w:rPr>
          <w:rFonts w:ascii="Calibri" w:hAnsi="Calibri" w:cs="Calibri"/>
          <w:sz w:val="22"/>
          <w:szCs w:val="22"/>
        </w:rPr>
        <w:t>undertake</w:t>
      </w:r>
      <w:r w:rsidRPr="003C7E15">
        <w:rPr>
          <w:rFonts w:ascii="Calibri" w:hAnsi="Calibri" w:cs="Calibri"/>
          <w:color w:val="000000"/>
          <w:sz w:val="22"/>
          <w:szCs w:val="22"/>
        </w:rPr>
        <w:t xml:space="preserve"> margin trading.</w:t>
      </w:r>
    </w:p>
    <w:p w14:paraId="46AF2C2B" w14:textId="136A62B9" w:rsidR="003C7E15" w:rsidRPr="003C7E15" w:rsidRDefault="003C7E15" w:rsidP="000B5517">
      <w:pPr>
        <w:numPr>
          <w:ilvl w:val="2"/>
          <w:numId w:val="32"/>
        </w:numPr>
        <w:spacing w:after="240" w:line="240" w:lineRule="auto"/>
        <w:rPr>
          <w:rFonts w:ascii="Calibri" w:hAnsi="Calibri" w:cs="Calibri"/>
          <w:color w:val="000000"/>
          <w:sz w:val="22"/>
          <w:szCs w:val="22"/>
        </w:rPr>
      </w:pPr>
      <w:r w:rsidRPr="003C7E15">
        <w:rPr>
          <w:rFonts w:ascii="Calibri" w:hAnsi="Calibri" w:cs="Calibri"/>
          <w:i/>
          <w:color w:val="000000"/>
          <w:sz w:val="22"/>
          <w:szCs w:val="22"/>
        </w:rPr>
        <w:t>Islamic finance rules</w:t>
      </w:r>
      <w:r w:rsidRPr="003C7E15">
        <w:rPr>
          <w:rFonts w:ascii="Calibri" w:hAnsi="Calibri" w:cs="Calibri"/>
          <w:color w:val="000000"/>
          <w:sz w:val="22"/>
          <w:szCs w:val="22"/>
        </w:rPr>
        <w:t xml:space="preserve">.   Not </w:t>
      </w:r>
      <w:r w:rsidRPr="000B5517">
        <w:rPr>
          <w:rFonts w:ascii="Calibri" w:hAnsi="Calibri" w:cs="Calibri"/>
          <w:iCs/>
          <w:color w:val="000000"/>
          <w:sz w:val="22"/>
          <w:szCs w:val="22"/>
        </w:rPr>
        <w:t>applicable</w:t>
      </w:r>
      <w:r w:rsidRPr="003C7E15">
        <w:rPr>
          <w:rFonts w:ascii="Calibri" w:hAnsi="Calibri" w:cs="Calibri"/>
          <w:color w:val="000000"/>
          <w:sz w:val="22"/>
          <w:szCs w:val="22"/>
        </w:rPr>
        <w:t xml:space="preserve">, as the Fund won't be operated in a </w:t>
      </w:r>
      <w:proofErr w:type="spellStart"/>
      <w:r w:rsidRPr="003C7E15">
        <w:rPr>
          <w:rFonts w:ascii="Calibri" w:hAnsi="Calibri" w:cs="Calibri"/>
          <w:color w:val="000000"/>
          <w:sz w:val="22"/>
          <w:szCs w:val="22"/>
        </w:rPr>
        <w:t>Shari'a</w:t>
      </w:r>
      <w:proofErr w:type="spellEnd"/>
      <w:r w:rsidRPr="003C7E15">
        <w:rPr>
          <w:rFonts w:ascii="Calibri" w:hAnsi="Calibri" w:cs="Calibri"/>
          <w:color w:val="000000"/>
          <w:sz w:val="22"/>
          <w:szCs w:val="22"/>
        </w:rPr>
        <w:t>-compliant manner.</w:t>
      </w:r>
    </w:p>
    <w:p w14:paraId="06ED855D" w14:textId="24C9A042" w:rsidR="00B23A6C" w:rsidRPr="003C7E15" w:rsidRDefault="00B23A6C" w:rsidP="00AA6D41">
      <w:pPr>
        <w:pStyle w:val="Level2Number"/>
        <w:rPr>
          <w:rFonts w:cs="Calibri"/>
          <w:b/>
          <w:bCs/>
          <w:szCs w:val="22"/>
        </w:rPr>
      </w:pPr>
      <w:r w:rsidRPr="003C7E15">
        <w:rPr>
          <w:rFonts w:cs="Calibri"/>
          <w:b/>
          <w:bCs/>
          <w:szCs w:val="22"/>
        </w:rPr>
        <w:t>Anti-Money Laundering</w:t>
      </w:r>
    </w:p>
    <w:p w14:paraId="6D207178" w14:textId="77777777" w:rsidR="00B23A6C" w:rsidRPr="003C7E15" w:rsidRDefault="00B23A6C" w:rsidP="00AA6D41">
      <w:pPr>
        <w:pStyle w:val="Level3Number"/>
        <w:rPr>
          <w:rFonts w:cs="Calibri"/>
          <w:szCs w:val="22"/>
        </w:rPr>
      </w:pPr>
      <w:r w:rsidRPr="003C7E15">
        <w:rPr>
          <w:rFonts w:cs="Calibri"/>
          <w:szCs w:val="22"/>
        </w:rPr>
        <w:t>‘Authorised Persons’ under the Anti-Money Laundering, Counter-Terrorist Financing and Sanctions Module of the FSRA Rules are required to maintain adequate policies, procedures, systems and controls in place to prevent the activity of money laundering and terrorist financing.</w:t>
      </w:r>
    </w:p>
    <w:p w14:paraId="10ADF53E" w14:textId="77777777" w:rsidR="00B23A6C" w:rsidRPr="003C7E15" w:rsidRDefault="00B23A6C" w:rsidP="00AA6D41">
      <w:pPr>
        <w:pStyle w:val="Level3Number"/>
        <w:rPr>
          <w:rFonts w:cs="Calibri"/>
          <w:szCs w:val="22"/>
        </w:rPr>
      </w:pPr>
      <w:r w:rsidRPr="003C7E15">
        <w:rPr>
          <w:rFonts w:cs="Calibri"/>
          <w:szCs w:val="22"/>
        </w:rPr>
        <w:t>The Fund itself is not a ‘Relevant Person’ for the purposes of the AML Rules, however, the Fund Manager is, since it is an ‘Authorised Firm’. The Fund Manager, therefore, is required to comply with the requirements of the AML Rules, which (in addition to maintaining adequate policies, procedures, systems and controls in place) include appointing an anti-money laundering officer who has been assessed by the FSRA as fit and proper, to be responsible for the Fund Manager’s compliance with the requirements under the AML Rules.</w:t>
      </w:r>
    </w:p>
    <w:p w14:paraId="7CA60DAF" w14:textId="77777777" w:rsidR="00B23A6C" w:rsidRPr="003C7E15" w:rsidRDefault="00B23A6C" w:rsidP="00AA6D41">
      <w:pPr>
        <w:pStyle w:val="Level3Number"/>
        <w:rPr>
          <w:rFonts w:cs="Calibri"/>
          <w:szCs w:val="22"/>
        </w:rPr>
      </w:pPr>
      <w:r w:rsidRPr="003C7E15">
        <w:rPr>
          <w:rFonts w:cs="Calibri"/>
          <w:szCs w:val="22"/>
        </w:rPr>
        <w:t>Under the AML Rules, the FSRA requires prompt reporting of any suspicious transactions and activities in relation to money laundering or terrorist financing to the Financial Intelligence Unit with a notification to the FSRA. Where there is a breach of the AML Rules, the Fund Manager may be subject to investigations by the FSRA and any sanctions it is authorised to impose, as the FSRA deems appropriate.</w:t>
      </w:r>
    </w:p>
    <w:p w14:paraId="0967DB54" w14:textId="77777777" w:rsidR="00B23A6C" w:rsidRPr="003C7E15" w:rsidRDefault="00B23A6C" w:rsidP="00AA6D41">
      <w:pPr>
        <w:pStyle w:val="Level3Number"/>
        <w:rPr>
          <w:rFonts w:cs="Calibri"/>
          <w:szCs w:val="22"/>
        </w:rPr>
      </w:pPr>
      <w:r w:rsidRPr="003C7E15">
        <w:rPr>
          <w:rFonts w:cs="Calibri"/>
          <w:szCs w:val="22"/>
        </w:rPr>
        <w:t xml:space="preserve">Federal Decree-law No. (20) of 2018 on Anti-Money Laundering and Combating the Financing of Terrorism and Financing of Illegal Organisations, Federal Law No. 7 of 2014 regarding Combating Terrorist Crimes, Federal Decree </w:t>
      </w:r>
      <w:proofErr w:type="gramStart"/>
      <w:r w:rsidRPr="003C7E15">
        <w:rPr>
          <w:rFonts w:cs="Calibri"/>
          <w:szCs w:val="22"/>
        </w:rPr>
        <w:t>By</w:t>
      </w:r>
      <w:proofErr w:type="gramEnd"/>
      <w:r w:rsidRPr="003C7E15">
        <w:rPr>
          <w:rFonts w:cs="Calibri"/>
          <w:szCs w:val="22"/>
        </w:rPr>
        <w:t xml:space="preserve"> Law No. 20 of 2018 together with other UAE criminal laws, applies in the DIFC and, as such, any breach under that legislation would result in criminal liabilities. Additionally, the Fund Manager is required to comply with the anti-money laundering regulations and directives of the UAE Central Bank and the UAE Ministry of Economy.</w:t>
      </w:r>
    </w:p>
    <w:p w14:paraId="28165E16" w14:textId="77777777" w:rsidR="00B23A6C" w:rsidRPr="003C7E15" w:rsidRDefault="00B23A6C" w:rsidP="00AA6D41">
      <w:pPr>
        <w:pStyle w:val="Level3Number"/>
        <w:rPr>
          <w:rFonts w:cs="Calibri"/>
          <w:szCs w:val="22"/>
        </w:rPr>
      </w:pPr>
      <w:r w:rsidRPr="003C7E15">
        <w:rPr>
          <w:rFonts w:cs="Calibri"/>
          <w:szCs w:val="22"/>
        </w:rPr>
        <w:lastRenderedPageBreak/>
        <w:t xml:space="preserve">In accordance with AML Rules, the Administrator will require a detailed verification of the identity of each subscriber to the Fund and the source of wealth, source of payment for Shares and all such other information as the Fund may require </w:t>
      </w:r>
      <w:proofErr w:type="gramStart"/>
      <w:r w:rsidRPr="003C7E15">
        <w:rPr>
          <w:rFonts w:cs="Calibri"/>
          <w:szCs w:val="22"/>
        </w:rPr>
        <w:t>to comply</w:t>
      </w:r>
      <w:proofErr w:type="gramEnd"/>
      <w:r w:rsidRPr="003C7E15">
        <w:rPr>
          <w:rFonts w:cs="Calibri"/>
          <w:szCs w:val="22"/>
        </w:rPr>
        <w:t xml:space="preserve"> with any “know your customer” requirements and applicable AML Rules. The Fund Manager and the Administrator reserve the right to request such documents and information as is necessary to verify the identity of an investor. In the event of delay or failure by a subscriber to produce any documents or information required for verification purposes, the Administrator will refuse to accept the application and the subscription monies relating thereto.</w:t>
      </w:r>
    </w:p>
    <w:p w14:paraId="7136A1D0" w14:textId="77777777" w:rsidR="00B23A6C" w:rsidRPr="003C7E15" w:rsidRDefault="00B23A6C" w:rsidP="00AA6D41">
      <w:pPr>
        <w:pStyle w:val="Level3Number"/>
        <w:rPr>
          <w:rFonts w:cs="Calibri"/>
          <w:szCs w:val="22"/>
        </w:rPr>
      </w:pPr>
      <w:r w:rsidRPr="003C7E15">
        <w:rPr>
          <w:rFonts w:cs="Calibri"/>
          <w:szCs w:val="22"/>
        </w:rPr>
        <w:t xml:space="preserve">The Fund will require a verification of the investor’s identity, source of wealth, source of payment for Shares and all such other information as the Fund may require </w:t>
      </w:r>
      <w:proofErr w:type="gramStart"/>
      <w:r w:rsidRPr="003C7E15">
        <w:rPr>
          <w:rFonts w:cs="Calibri"/>
          <w:szCs w:val="22"/>
        </w:rPr>
        <w:t>to comply</w:t>
      </w:r>
      <w:proofErr w:type="gramEnd"/>
      <w:r w:rsidRPr="003C7E15">
        <w:rPr>
          <w:rFonts w:cs="Calibri"/>
          <w:szCs w:val="22"/>
        </w:rPr>
        <w:t xml:space="preserve"> with any “know your customer” requirements and applicable AML Laws, regulations and obligations in any jurisdiction which are binding upon it. </w:t>
      </w:r>
    </w:p>
    <w:p w14:paraId="5CAA635E" w14:textId="1CC316C4" w:rsidR="00B23A6C" w:rsidRPr="003C7E15" w:rsidRDefault="00B23A6C" w:rsidP="00AA6D41">
      <w:pPr>
        <w:pStyle w:val="Level3Number"/>
        <w:rPr>
          <w:rFonts w:cs="Calibri"/>
          <w:szCs w:val="22"/>
        </w:rPr>
      </w:pPr>
      <w:r w:rsidRPr="003C7E15">
        <w:rPr>
          <w:rFonts w:cs="Calibri"/>
          <w:szCs w:val="22"/>
        </w:rPr>
        <w:t xml:space="preserve">An investor must agree to promptly provide the Fund with such documentation and information as reasonably requested from time to time for the purposes of compliance with “know your customer” requirements and applicable AML Laws, regulations and obligations. Each investor must agree to hold the Fund and the Administrator harmless and indemnified against any loss arising from the failure to process its application for </w:t>
      </w:r>
      <w:r w:rsidR="00DF22AB" w:rsidRPr="003C7E15">
        <w:rPr>
          <w:rFonts w:cs="Calibri"/>
          <w:szCs w:val="22"/>
        </w:rPr>
        <w:t>Tokens</w:t>
      </w:r>
      <w:r w:rsidRPr="003C7E15">
        <w:rPr>
          <w:rFonts w:cs="Calibri"/>
          <w:szCs w:val="22"/>
        </w:rPr>
        <w:t xml:space="preserve">, if such information has been requested and has not been provided. </w:t>
      </w:r>
    </w:p>
    <w:p w14:paraId="5FA74ECF" w14:textId="0404A2A1" w:rsidR="00B23A6C" w:rsidRPr="003C7E15" w:rsidRDefault="00B23A6C" w:rsidP="00AA6D41">
      <w:pPr>
        <w:pStyle w:val="Level3Number"/>
        <w:rPr>
          <w:rFonts w:cs="Calibri"/>
          <w:szCs w:val="22"/>
        </w:rPr>
      </w:pPr>
      <w:r w:rsidRPr="003C7E15">
        <w:rPr>
          <w:rFonts w:cs="Calibri"/>
          <w:szCs w:val="22"/>
        </w:rPr>
        <w:t xml:space="preserve">An investor is not eligible to subscribe for </w:t>
      </w:r>
      <w:r w:rsidR="00DF22AB" w:rsidRPr="003C7E15">
        <w:rPr>
          <w:rFonts w:cs="Calibri"/>
          <w:szCs w:val="22"/>
        </w:rPr>
        <w:t>Tokens</w:t>
      </w:r>
      <w:r w:rsidRPr="003C7E15">
        <w:rPr>
          <w:rFonts w:cs="Calibri"/>
          <w:szCs w:val="22"/>
        </w:rPr>
        <w:t xml:space="preserve"> in the Fund if such investor is: (a) subject to United Nations, Office of Foreign Assets Control or European Union sanctions, including any sanctions countering the financing of terrorism, (b) a person designated in, or controlled by a person designated in, the ISIL (Da’esh) &amp; Al-Qaida Sanctions List maintained by the United Nations Security Council Committee pursuant to resolutions 1267 (1999), 1989 (2011) and 2253 (2015) concerning ISIL (Da’esh), Al-Qaida and associated individuals, groups, undertakings and entities (i.e. the Al-Qaida Sanctions Committee) (the “</w:t>
      </w:r>
      <w:r w:rsidRPr="003C7E15">
        <w:rPr>
          <w:rFonts w:cs="Calibri"/>
          <w:b/>
          <w:bCs/>
          <w:szCs w:val="22"/>
        </w:rPr>
        <w:t>UN List</w:t>
      </w:r>
      <w:r w:rsidRPr="003C7E15">
        <w:rPr>
          <w:rFonts w:cs="Calibri"/>
          <w:szCs w:val="22"/>
        </w:rPr>
        <w:t>”) or (c) a person designated in, or controlled by a person designated in, any list similar in intent to the UN List or any other list of sanctioned individuals that is maintained by any UAE authority, including the UAE Central Bank, the ADGM or the FSRA. For purposes of this paragraph, “control” means ownership of ten percent (10%) or more of the relevant entity (or such other threshold as may be applied by the relevant authority from time to time).</w:t>
      </w:r>
    </w:p>
    <w:p w14:paraId="525D4083" w14:textId="77777777" w:rsidR="00B23A6C" w:rsidRPr="003C7E15" w:rsidRDefault="00B23A6C" w:rsidP="00AA6D41">
      <w:pPr>
        <w:pStyle w:val="Level3Number"/>
        <w:rPr>
          <w:rFonts w:cs="Calibri"/>
          <w:szCs w:val="22"/>
        </w:rPr>
      </w:pPr>
      <w:r w:rsidRPr="003C7E15">
        <w:rPr>
          <w:rFonts w:cs="Calibri"/>
          <w:szCs w:val="22"/>
        </w:rPr>
        <w:t xml:space="preserve">In the event of delay or failure on the part of the subscriber in producing any information required for verification purposes, the Fund may refuse to accept the application, in which case, any funds received will be returned without profit to the account from which they were originally debited. </w:t>
      </w:r>
    </w:p>
    <w:p w14:paraId="0F43B2DD" w14:textId="3F40485B" w:rsidR="00B23A6C" w:rsidRPr="003C7E15" w:rsidRDefault="00B23A6C" w:rsidP="00AA6D41">
      <w:pPr>
        <w:pStyle w:val="Level3Number"/>
        <w:rPr>
          <w:rFonts w:cs="Calibri"/>
          <w:szCs w:val="22"/>
        </w:rPr>
      </w:pPr>
      <w:r w:rsidRPr="003C7E15">
        <w:rPr>
          <w:rFonts w:cs="Calibri"/>
          <w:szCs w:val="22"/>
        </w:rPr>
        <w:t xml:space="preserve">By subscribing </w:t>
      </w:r>
      <w:r w:rsidR="00DF22AB" w:rsidRPr="003C7E15">
        <w:rPr>
          <w:rFonts w:cs="Calibri"/>
          <w:szCs w:val="22"/>
        </w:rPr>
        <w:t xml:space="preserve">for Tokens in </w:t>
      </w:r>
      <w:r w:rsidRPr="003C7E15">
        <w:rPr>
          <w:rFonts w:cs="Calibri"/>
          <w:szCs w:val="22"/>
        </w:rPr>
        <w:t>the Fund, subscribers consent to the disclosure by the Fund and the Administrator of any information about them to regulators and others upon request in connection with money laundering and similar matters in the UAE and in other jurisdictions.</w:t>
      </w:r>
    </w:p>
    <w:p w14:paraId="0E12063F" w14:textId="67730958" w:rsidR="00B23A6C" w:rsidRPr="00AA6D41" w:rsidRDefault="00B23A6C" w:rsidP="00AA6D41">
      <w:pPr>
        <w:pStyle w:val="Level3Number"/>
        <w:rPr>
          <w:rFonts w:cs="Calibri"/>
        </w:rPr>
      </w:pPr>
      <w:r w:rsidRPr="003C7E15">
        <w:rPr>
          <w:rFonts w:cs="Calibri"/>
          <w:szCs w:val="22"/>
        </w:rPr>
        <w:t>Many jurisdictions are in the process of changing or creating anti-money laundering, embargo and trade sanctions, or similar laws, regulations, requirements (whether or not with force of law) or regulatory policies and many financial intermediaries are in the process of changing or creating responsive disclosure and compliance policies (collectively, the “</w:t>
      </w:r>
      <w:r w:rsidRPr="003C7E15">
        <w:rPr>
          <w:rFonts w:cs="Calibri"/>
          <w:b/>
          <w:bCs/>
          <w:szCs w:val="22"/>
        </w:rPr>
        <w:t>Requirements</w:t>
      </w:r>
      <w:r w:rsidRPr="003C7E15">
        <w:rPr>
          <w:rFonts w:cs="Calibri"/>
          <w:szCs w:val="22"/>
        </w:rPr>
        <w:t xml:space="preserve">”) and the Fund could be requested or required to obtain certain assurances from applicants subscribing for </w:t>
      </w:r>
      <w:r w:rsidR="00DF22AB" w:rsidRPr="003C7E15">
        <w:rPr>
          <w:rFonts w:cs="Calibri"/>
          <w:szCs w:val="22"/>
        </w:rPr>
        <w:t>Tokens</w:t>
      </w:r>
      <w:r w:rsidRPr="003C7E15">
        <w:rPr>
          <w:rFonts w:cs="Calibri"/>
          <w:szCs w:val="22"/>
        </w:rPr>
        <w:t>, disclose information pertaining to them to governmental, regulatory or other authorities or to financial intermediarie</w:t>
      </w:r>
      <w:r w:rsidRPr="00AA6D41">
        <w:rPr>
          <w:rFonts w:cs="Calibri"/>
        </w:rPr>
        <w:t xml:space="preserve">s, or engage in due diligence or take other related actions in the future. It is the Fund’s policy to comply with the Requirements to which it is, or may become, subject to and to interpret them broadly in favour of disclosure. Each applicant will be required to agree in the </w:t>
      </w:r>
      <w:r w:rsidR="006D4C23">
        <w:rPr>
          <w:rFonts w:cs="Calibri"/>
        </w:rPr>
        <w:t>Token Purchase Agreement</w:t>
      </w:r>
      <w:r w:rsidRPr="00AA6D41">
        <w:rPr>
          <w:rFonts w:cs="Calibri"/>
        </w:rPr>
        <w:t xml:space="preserve">, and will be deemed to have agreed by reason of owning any Interests, that it will provide additional information or </w:t>
      </w:r>
      <w:r w:rsidRPr="00AA6D41">
        <w:rPr>
          <w:rFonts w:cs="Calibri"/>
        </w:rPr>
        <w:lastRenderedPageBreak/>
        <w:t xml:space="preserve">take such other actions as may be necessary or advisable for the Fund (in the sole judgement of the Fund, the Fund Manager and/or the Administrator) to comply with any Requirements, related legal process or appropriate requests (whether formal or informal) or otherwise. Each applicant by executing the </w:t>
      </w:r>
      <w:r w:rsidR="006D4C23">
        <w:rPr>
          <w:rFonts w:cs="Calibri"/>
        </w:rPr>
        <w:t>Token Purchase Agreement</w:t>
      </w:r>
      <w:r w:rsidRPr="00AA6D41">
        <w:rPr>
          <w:rFonts w:cs="Calibri"/>
        </w:rPr>
        <w:t xml:space="preserve"> consents, and by owning any </w:t>
      </w:r>
      <w:r w:rsidR="00DF22AB" w:rsidRPr="00AA6D41">
        <w:rPr>
          <w:rFonts w:cs="Calibri"/>
        </w:rPr>
        <w:t>Tokens</w:t>
      </w:r>
      <w:r w:rsidRPr="00AA6D41">
        <w:rPr>
          <w:rFonts w:cs="Calibri"/>
        </w:rPr>
        <w:t xml:space="preserve">, is deemed to have consented, to disclosure by the Fund, the Fund Manager and/or the Administrator and their agents to relevant </w:t>
      </w:r>
      <w:proofErr w:type="gramStart"/>
      <w:r w:rsidRPr="00AA6D41">
        <w:rPr>
          <w:rFonts w:cs="Calibri"/>
        </w:rPr>
        <w:t>third parties,</w:t>
      </w:r>
      <w:proofErr w:type="gramEnd"/>
      <w:r w:rsidRPr="00AA6D41">
        <w:rPr>
          <w:rFonts w:cs="Calibri"/>
        </w:rPr>
        <w:t xml:space="preserve"> of information pertaining to it in respect of the Requirements of information requests related thereto. Failure to honour any such request may result in redemption by the Fund or a forced sale to another </w:t>
      </w:r>
      <w:r w:rsidR="006D4C23">
        <w:rPr>
          <w:rFonts w:cs="Calibri"/>
        </w:rPr>
        <w:t>Token Holder</w:t>
      </w:r>
      <w:r w:rsidRPr="00AA6D41">
        <w:rPr>
          <w:rFonts w:cs="Calibri"/>
        </w:rPr>
        <w:t xml:space="preserve"> of such applicant’s </w:t>
      </w:r>
      <w:r w:rsidR="00DF22AB" w:rsidRPr="00AA6D41">
        <w:rPr>
          <w:rFonts w:cs="Calibri"/>
        </w:rPr>
        <w:t>Tokens</w:t>
      </w:r>
      <w:r w:rsidRPr="00AA6D41">
        <w:rPr>
          <w:rFonts w:cs="Calibri"/>
        </w:rPr>
        <w:t>.</w:t>
      </w:r>
    </w:p>
    <w:p w14:paraId="520327E0" w14:textId="4B88430F" w:rsidR="00B23A6C" w:rsidRPr="00AA6D41" w:rsidRDefault="00B23A6C" w:rsidP="00AA6D41">
      <w:pPr>
        <w:pStyle w:val="Level2Number"/>
        <w:rPr>
          <w:b/>
          <w:bCs/>
        </w:rPr>
      </w:pPr>
      <w:r w:rsidRPr="00AA6D41">
        <w:rPr>
          <w:b/>
          <w:bCs/>
        </w:rPr>
        <w:t>Certain Tax Considerations</w:t>
      </w:r>
    </w:p>
    <w:p w14:paraId="3399654E" w14:textId="7BF22745" w:rsidR="00B23A6C" w:rsidRPr="00AA6D41" w:rsidRDefault="00B23A6C" w:rsidP="00AA6D41">
      <w:pPr>
        <w:pStyle w:val="Level3Number"/>
        <w:rPr>
          <w:rFonts w:cs="Calibri"/>
        </w:rPr>
      </w:pPr>
      <w:r w:rsidRPr="00AA6D41">
        <w:rPr>
          <w:rFonts w:cs="Calibri"/>
        </w:rPr>
        <w:t xml:space="preserve">No taxes currently apply to the holders of the </w:t>
      </w:r>
      <w:r w:rsidR="00DF22AB" w:rsidRPr="00AA6D41">
        <w:rPr>
          <w:rFonts w:cs="Calibri"/>
        </w:rPr>
        <w:t>Tokens</w:t>
      </w:r>
      <w:r w:rsidRPr="00AA6D41">
        <w:rPr>
          <w:rFonts w:cs="Calibri"/>
        </w:rPr>
        <w:t xml:space="preserve"> in the ADGM, including dividend tax, capital gains tax, stamp duty or other tax. </w:t>
      </w:r>
    </w:p>
    <w:p w14:paraId="3272E1F0" w14:textId="77777777" w:rsidR="00B23A6C" w:rsidRPr="00AA6D41" w:rsidRDefault="00B23A6C" w:rsidP="00AA6D41">
      <w:pPr>
        <w:pStyle w:val="Level3Number"/>
        <w:rPr>
          <w:rFonts w:cs="Calibri"/>
        </w:rPr>
      </w:pPr>
      <w:r w:rsidRPr="00AA6D41">
        <w:rPr>
          <w:rFonts w:cs="Calibri"/>
        </w:rPr>
        <w:t>As an entity established in the ADGM, the Fund is subject to a zero rate of corporate income tax until 2063.</w:t>
      </w:r>
    </w:p>
    <w:p w14:paraId="0613F4BC" w14:textId="648977BD" w:rsidR="00B23A6C" w:rsidRPr="00AA6D41" w:rsidRDefault="00B23A6C" w:rsidP="00AA6D41">
      <w:pPr>
        <w:pStyle w:val="Level3Number"/>
        <w:rPr>
          <w:rFonts w:cs="Calibri"/>
        </w:rPr>
      </w:pPr>
      <w:r w:rsidRPr="00AA6D41">
        <w:rPr>
          <w:rFonts w:cs="Calibri"/>
        </w:rPr>
        <w:t>Value Added Tax (“</w:t>
      </w:r>
      <w:r w:rsidRPr="00AA6D41">
        <w:rPr>
          <w:rFonts w:cs="Calibri"/>
          <w:b/>
          <w:bCs/>
        </w:rPr>
        <w:t>VAT</w:t>
      </w:r>
      <w:r w:rsidRPr="00AA6D41">
        <w:rPr>
          <w:rFonts w:cs="Calibri"/>
        </w:rPr>
        <w:t xml:space="preserve">”) has been implemented in the UAE since January 2018 at a standard rate of 5% levied on goods and services. VAT is a tax on domestic consumption which is applied on supplies of most goods and services. Under the regulations, VAT should not be payable in respect of the acquisition of </w:t>
      </w:r>
      <w:r w:rsidR="00DF22AB" w:rsidRPr="00AA6D41">
        <w:rPr>
          <w:rFonts w:cs="Calibri"/>
        </w:rPr>
        <w:t>Tokens</w:t>
      </w:r>
      <w:r w:rsidRPr="00AA6D41">
        <w:rPr>
          <w:rFonts w:cs="Calibri"/>
        </w:rPr>
        <w:t xml:space="preserve">. However, investors should seek advice in relation to the impact of VAT in relation to their acquisition of </w:t>
      </w:r>
      <w:r w:rsidR="00DF22AB" w:rsidRPr="00AA6D41">
        <w:rPr>
          <w:rFonts w:cs="Calibri"/>
        </w:rPr>
        <w:t>Tokens</w:t>
      </w:r>
      <w:r w:rsidRPr="00AA6D41">
        <w:rPr>
          <w:rFonts w:cs="Calibri"/>
        </w:rPr>
        <w:t>. Further, the Fund Manager is expected to be impacted by VAT in relation to its ongoing activities (e.g. operating costs, VAT compliance costs, etc.) and payments to the Fund Manager and other service providers to the Fund may be grossed up for VAT pursuant to the terms of the relevant engagements. VAT included in the price of expenses incurred by the Fund may not be fully recoverable given its expected activities.</w:t>
      </w:r>
    </w:p>
    <w:p w14:paraId="1958F8AB" w14:textId="35747075" w:rsidR="00B23A6C" w:rsidRPr="00AA6D41" w:rsidRDefault="00B23A6C" w:rsidP="00AA6D41">
      <w:pPr>
        <w:pStyle w:val="Level3Number"/>
        <w:rPr>
          <w:rFonts w:cs="Calibri"/>
        </w:rPr>
      </w:pPr>
      <w:r w:rsidRPr="00AA6D41">
        <w:rPr>
          <w:rFonts w:cs="Calibri"/>
        </w:rPr>
        <w:t xml:space="preserve">It is the responsibility of all persons interested in purchasing </w:t>
      </w:r>
      <w:r w:rsidR="00DF22AB" w:rsidRPr="00AA6D41">
        <w:rPr>
          <w:rFonts w:cs="Calibri"/>
        </w:rPr>
        <w:t>Tokens</w:t>
      </w:r>
      <w:r w:rsidRPr="00AA6D41">
        <w:rPr>
          <w:rFonts w:cs="Calibri"/>
        </w:rPr>
        <w:t xml:space="preserve"> to inform themselves as to any tax consequences from their investing in the Fund and the Fund’s operations or management, as well as any foreign exchange or other fiscal or legal restrictions, which are relevant to their </w:t>
      </w:r>
      <w:proofErr w:type="gramStart"/>
      <w:r w:rsidRPr="00AA6D41">
        <w:rPr>
          <w:rFonts w:cs="Calibri"/>
        </w:rPr>
        <w:t>particular circumstances</w:t>
      </w:r>
      <w:proofErr w:type="gramEnd"/>
      <w:r w:rsidRPr="00AA6D41">
        <w:rPr>
          <w:rFonts w:cs="Calibri"/>
        </w:rPr>
        <w:t xml:space="preserve"> in connection with the acquisition, holding or disposition of </w:t>
      </w:r>
      <w:r w:rsidR="00DF22AB" w:rsidRPr="00AA6D41">
        <w:rPr>
          <w:rFonts w:cs="Calibri"/>
        </w:rPr>
        <w:t>Tokens</w:t>
      </w:r>
      <w:r w:rsidRPr="00AA6D41">
        <w:rPr>
          <w:rFonts w:cs="Calibri"/>
        </w:rPr>
        <w:t xml:space="preserve">. Prospective investors should therefore seek their own separate tax advice in relation to their holding of </w:t>
      </w:r>
      <w:r w:rsidR="00DF22AB" w:rsidRPr="00AA6D41">
        <w:rPr>
          <w:rFonts w:cs="Calibri"/>
        </w:rPr>
        <w:t>Tokens</w:t>
      </w:r>
      <w:r w:rsidRPr="00AA6D41">
        <w:rPr>
          <w:rFonts w:cs="Calibri"/>
        </w:rPr>
        <w:t xml:space="preserve"> and, accordingly, neither the Fund nor the Fund Manager accept any responsibility for the tax consequences of any investment into the Fund by an investor.</w:t>
      </w:r>
    </w:p>
    <w:p w14:paraId="4AD82A44" w14:textId="77777777" w:rsidR="00B23A6C" w:rsidRPr="00AA6D41" w:rsidRDefault="00B23A6C" w:rsidP="00AA6D41">
      <w:pPr>
        <w:pStyle w:val="Level2Number"/>
        <w:rPr>
          <w:b/>
          <w:bCs/>
        </w:rPr>
      </w:pPr>
      <w:r w:rsidRPr="00AA6D41">
        <w:rPr>
          <w:b/>
          <w:bCs/>
        </w:rPr>
        <w:t>FATCA</w:t>
      </w:r>
    </w:p>
    <w:p w14:paraId="0D97CF1B" w14:textId="77777777" w:rsidR="00B23A6C" w:rsidRPr="00AA6D41" w:rsidRDefault="00B23A6C" w:rsidP="00AA6D41">
      <w:pPr>
        <w:pStyle w:val="Level3Number"/>
        <w:rPr>
          <w:rFonts w:cs="Calibri"/>
        </w:rPr>
      </w:pPr>
      <w:r w:rsidRPr="00AA6D41">
        <w:rPr>
          <w:rFonts w:cs="Calibri"/>
        </w:rPr>
        <w:t>Foreign financial institutions (which include hedge funds, private equity funds, mutual funds, securitisation vehicles and any other investment vehicles regardless of their size) must comply with information reporting rules with respect to their U.S. account holders and investors or confront a withholding tax on U.S. source payments made to them, as provided in Sections 1471 through 1474 of the U.S. Internal Revenue Code and any regulations, official interpretations, and intergovernmental agreements with respect thereto (commonly referred to as “</w:t>
      </w:r>
      <w:r w:rsidRPr="00AA6D41">
        <w:rPr>
          <w:rFonts w:cs="Calibri"/>
          <w:b/>
          <w:bCs/>
        </w:rPr>
        <w:t>FATCA</w:t>
      </w:r>
      <w:r w:rsidRPr="00AA6D41">
        <w:rPr>
          <w:rFonts w:cs="Calibri"/>
        </w:rPr>
        <w:t>”). A foreign financial institution or other foreign entity that does not comply with these reporting requirements may be subject to a thirty percent (30%) withholding tax with respect to certain “</w:t>
      </w:r>
      <w:proofErr w:type="spellStart"/>
      <w:r w:rsidRPr="00AA6D41">
        <w:rPr>
          <w:rFonts w:cs="Calibri"/>
        </w:rPr>
        <w:t>withholdable</w:t>
      </w:r>
      <w:proofErr w:type="spellEnd"/>
      <w:r w:rsidRPr="00AA6D41">
        <w:rPr>
          <w:rFonts w:cs="Calibri"/>
        </w:rPr>
        <w:t xml:space="preserve"> payments”. For this purpose, </w:t>
      </w:r>
      <w:proofErr w:type="spellStart"/>
      <w:r w:rsidRPr="00AA6D41">
        <w:rPr>
          <w:rFonts w:cs="Calibri"/>
        </w:rPr>
        <w:t>withholdable</w:t>
      </w:r>
      <w:proofErr w:type="spellEnd"/>
      <w:r w:rsidRPr="00AA6D41">
        <w:rPr>
          <w:rFonts w:cs="Calibri"/>
        </w:rPr>
        <w:t xml:space="preserve"> payments are U.S. source payments otherwise subject to non-resident withholding tax and, after 31 December 2018, also include the entire gross proceeds from the sale of any equity or debt instruments of U.S. issuers. The withholding tax will apply regardless of whether the payment would otherwise be exempt from U.S. non-resident withholding tax (e.g. under the portfolio interest exemption or as a payment giving rise to a capital gain). </w:t>
      </w:r>
    </w:p>
    <w:p w14:paraId="1BFEFE0A" w14:textId="77777777" w:rsidR="00B23A6C" w:rsidRPr="00AA6D41" w:rsidRDefault="00B23A6C" w:rsidP="00AA6D41">
      <w:pPr>
        <w:pStyle w:val="Level3Number"/>
        <w:rPr>
          <w:rFonts w:cs="Calibri"/>
        </w:rPr>
      </w:pPr>
      <w:r w:rsidRPr="00AA6D41">
        <w:rPr>
          <w:rFonts w:cs="Calibri"/>
        </w:rPr>
        <w:lastRenderedPageBreak/>
        <w:t>On 17 June 2015, the UAE government entered into an inter-governmental agreement with the US (the “</w:t>
      </w:r>
      <w:r w:rsidRPr="00AA6D41">
        <w:rPr>
          <w:rFonts w:cs="Calibri"/>
          <w:b/>
          <w:bCs/>
        </w:rPr>
        <w:t>US IGA</w:t>
      </w:r>
      <w:r w:rsidRPr="00AA6D41">
        <w:rPr>
          <w:rFonts w:cs="Calibri"/>
        </w:rPr>
        <w:t xml:space="preserve">”) in connection with the implementation of FATCA. The US IGA is intended to result in the automatic exchange of tax information under FATCA. The two governments have also signed a Tax Information Exchange Agreement which outlines the legal channels through which tax information will automatically be exchanged. </w:t>
      </w:r>
    </w:p>
    <w:p w14:paraId="4E32C30B" w14:textId="77777777" w:rsidR="00B23A6C" w:rsidRPr="00AA6D41" w:rsidRDefault="00B23A6C" w:rsidP="00AA6D41">
      <w:pPr>
        <w:pStyle w:val="Level3Number"/>
        <w:rPr>
          <w:rFonts w:cs="Calibri"/>
        </w:rPr>
      </w:pPr>
      <w:r w:rsidRPr="00AA6D41">
        <w:rPr>
          <w:rFonts w:cs="Calibri"/>
        </w:rPr>
        <w:t>Investors will be required to provide identifying information to the Fund in order for the Fund to correctly classify the investor for the purposes of FATCA, and should note that, in the event an investor does not supply such information on request, such investor may be classified as a ‘US Reportable Account’ and information pertaining to such investor (and its holding in the Fund) may be passed to the UAE Federal Tax Authority or its delegate (the “</w:t>
      </w:r>
      <w:r w:rsidRPr="00AA6D41">
        <w:rPr>
          <w:rFonts w:cs="Calibri"/>
          <w:b/>
          <w:bCs/>
        </w:rPr>
        <w:t>FTA</w:t>
      </w:r>
      <w:r w:rsidRPr="00AA6D41">
        <w:rPr>
          <w:rFonts w:cs="Calibri"/>
        </w:rPr>
        <w:t>”) who may then provide it to the United States Internal Revenue Service (the “</w:t>
      </w:r>
      <w:r w:rsidRPr="00AA6D41">
        <w:rPr>
          <w:rFonts w:cs="Calibri"/>
          <w:b/>
          <w:bCs/>
        </w:rPr>
        <w:t>IRS</w:t>
      </w:r>
      <w:r w:rsidRPr="00AA6D41">
        <w:rPr>
          <w:rFonts w:cs="Calibri"/>
        </w:rPr>
        <w:t xml:space="preserve">”). Each investor should also note that any information provided to the Fund which identifies its direct or indirect ownership of an interest in the Fund may be reported to the TIA and/or the IRS.  </w:t>
      </w:r>
    </w:p>
    <w:p w14:paraId="74D7CD7F" w14:textId="31C28C48" w:rsidR="00B23A6C" w:rsidRPr="00AA6D41" w:rsidRDefault="00B23A6C" w:rsidP="00AA6D41">
      <w:pPr>
        <w:pStyle w:val="Level3Number"/>
        <w:rPr>
          <w:rFonts w:cs="Calibri"/>
        </w:rPr>
      </w:pPr>
      <w:r w:rsidRPr="00AA6D41">
        <w:rPr>
          <w:rFonts w:cs="Calibri"/>
        </w:rPr>
        <w:t xml:space="preserve">Each </w:t>
      </w:r>
      <w:r w:rsidR="006D4C23">
        <w:rPr>
          <w:rFonts w:cs="Calibri"/>
        </w:rPr>
        <w:t>Token Holder</w:t>
      </w:r>
      <w:r w:rsidRPr="00AA6D41">
        <w:rPr>
          <w:rFonts w:cs="Calibri"/>
        </w:rPr>
        <w:t xml:space="preserve"> is urged to consult its tax advisors regarding the effect of FATCA in its </w:t>
      </w:r>
      <w:proofErr w:type="gramStart"/>
      <w:r w:rsidRPr="00AA6D41">
        <w:rPr>
          <w:rFonts w:cs="Calibri"/>
        </w:rPr>
        <w:t>particular circumstances</w:t>
      </w:r>
      <w:proofErr w:type="gramEnd"/>
      <w:r w:rsidRPr="00AA6D41">
        <w:rPr>
          <w:rFonts w:cs="Calibri"/>
        </w:rPr>
        <w:t>.</w:t>
      </w:r>
    </w:p>
    <w:p w14:paraId="36855D15" w14:textId="77777777" w:rsidR="00B23A6C" w:rsidRPr="00AA6D41" w:rsidRDefault="00B23A6C" w:rsidP="00AA6D41">
      <w:pPr>
        <w:pStyle w:val="Level2Number"/>
        <w:rPr>
          <w:b/>
          <w:bCs/>
        </w:rPr>
      </w:pPr>
      <w:r w:rsidRPr="00AA6D41">
        <w:rPr>
          <w:b/>
          <w:bCs/>
        </w:rPr>
        <w:t>CRS</w:t>
      </w:r>
    </w:p>
    <w:p w14:paraId="754D2A9A" w14:textId="5092CB10" w:rsidR="00B23A6C" w:rsidRPr="004126E5" w:rsidRDefault="00B23A6C" w:rsidP="00274F95">
      <w:pPr>
        <w:pStyle w:val="Level4Number"/>
        <w:numPr>
          <w:ilvl w:val="0"/>
          <w:numId w:val="0"/>
        </w:numPr>
        <w:ind w:left="720"/>
        <w:rPr>
          <w:rFonts w:cs="Calibri"/>
        </w:rPr>
      </w:pPr>
      <w:r w:rsidRPr="004126E5">
        <w:rPr>
          <w:rFonts w:cs="Calibri"/>
        </w:rPr>
        <w:t>Drawing extensively on the intergovernmental approach to implementing FATCA, the OECD developed the Common Reporting Standard (“</w:t>
      </w:r>
      <w:r w:rsidRPr="004126E5">
        <w:rPr>
          <w:rFonts w:cs="Calibri"/>
          <w:b/>
          <w:bCs/>
        </w:rPr>
        <w:t>CRS</w:t>
      </w:r>
      <w:r w:rsidRPr="004126E5">
        <w:rPr>
          <w:rFonts w:cs="Calibri"/>
        </w:rPr>
        <w:t xml:space="preserve">”) to address the issue of offshore tax evasion on a global basis. Aimed at maximising efficiency and reducing cost for financial institutions, the CRS provides a common standard for due diligence, reporting and exchange of financial account information. Pursuant to the CRS, participating jurisdictions will obtain from reporting financial institutions, and automatically exchange with exchange partners on an annual basis, financial information with respect to all reportable accounts identified by financial institutions </w:t>
      </w:r>
      <w:proofErr w:type="gramStart"/>
      <w:r w:rsidRPr="004126E5">
        <w:rPr>
          <w:rFonts w:cs="Calibri"/>
        </w:rPr>
        <w:t>on the basis of</w:t>
      </w:r>
      <w:proofErr w:type="gramEnd"/>
      <w:r w:rsidRPr="004126E5">
        <w:rPr>
          <w:rFonts w:cs="Calibri"/>
        </w:rPr>
        <w:t xml:space="preserve"> common due diligence and reporting procedures. The first information exchanges are expected to begin in 2017. The UAE government has committed to implement the CRS, and to begin exchanging information, in 2018. As a result, the Fund will be required to comply with the CRS due diligence and reporting requirements, as adopted by the UAE government. </w:t>
      </w:r>
      <w:r w:rsidR="006D4C23">
        <w:rPr>
          <w:rFonts w:cs="Calibri"/>
        </w:rPr>
        <w:t>Token Holder</w:t>
      </w:r>
      <w:r w:rsidRPr="004126E5">
        <w:rPr>
          <w:rFonts w:cs="Calibri"/>
        </w:rPr>
        <w:t xml:space="preserve">s may be required to provide additional information to the Fund to enable the Fund to satisfy its obligations under the CRS. Failure to provide requested information may subject such </w:t>
      </w:r>
      <w:r w:rsidR="006D4C23">
        <w:rPr>
          <w:rFonts w:cs="Calibri"/>
        </w:rPr>
        <w:t>Token Holder</w:t>
      </w:r>
      <w:r w:rsidRPr="004126E5">
        <w:rPr>
          <w:rFonts w:cs="Calibri"/>
        </w:rPr>
        <w:t xml:space="preserve"> to liability for any resulting penalties or other charges and/or compulsory redemption of its </w:t>
      </w:r>
      <w:r w:rsidR="00DF22AB">
        <w:rPr>
          <w:rFonts w:cs="Calibri"/>
        </w:rPr>
        <w:t>Tokens</w:t>
      </w:r>
      <w:r w:rsidRPr="004126E5">
        <w:rPr>
          <w:rFonts w:cs="Calibri"/>
        </w:rPr>
        <w:t>.</w:t>
      </w:r>
    </w:p>
    <w:p w14:paraId="6D4570C8" w14:textId="77777777" w:rsidR="00B23A6C" w:rsidRPr="00AA6D41" w:rsidRDefault="00B23A6C" w:rsidP="00AA6D41">
      <w:pPr>
        <w:pStyle w:val="Level2Number"/>
        <w:rPr>
          <w:b/>
          <w:bCs/>
        </w:rPr>
      </w:pPr>
      <w:r w:rsidRPr="00AA6D41">
        <w:rPr>
          <w:b/>
          <w:bCs/>
        </w:rPr>
        <w:t>ADGM Data Protection</w:t>
      </w:r>
    </w:p>
    <w:p w14:paraId="7590428D" w14:textId="4DF8BE02" w:rsidR="00B23A6C" w:rsidRPr="00AA6D41" w:rsidRDefault="00B23A6C" w:rsidP="00AA6D41">
      <w:pPr>
        <w:pStyle w:val="Level3Number"/>
        <w:rPr>
          <w:rFonts w:cs="Calibri"/>
        </w:rPr>
      </w:pPr>
      <w:r w:rsidRPr="00AA6D41">
        <w:rPr>
          <w:rFonts w:cs="Calibri"/>
        </w:rPr>
        <w:t>For the purposes of the ADGM Data Protection Regulations 2021 (the “</w:t>
      </w:r>
      <w:r w:rsidRPr="00AA6D41">
        <w:rPr>
          <w:rFonts w:cs="Calibri"/>
          <w:b/>
          <w:bCs/>
        </w:rPr>
        <w:t>Data Protection Regulations</w:t>
      </w:r>
      <w:r w:rsidRPr="00AA6D41">
        <w:rPr>
          <w:rFonts w:cs="Calibri"/>
        </w:rPr>
        <w:t xml:space="preserve">”), "Personal Data" (as defined in the Data Protection Regulations) supplied by a prospective investor in connection with its Interests may be held by the Fund Manager and Administrator and "Processed" (as defined in the Data Protection Regulations) for the purpose of managing the application and investment of the prospective investor, and may also be used for the purpose of carrying out certain matters and dealing in any other matters relating to the prospective investor’s Interests (including the mailing of reports and notices). Such Personal Data will only be retained after a </w:t>
      </w:r>
      <w:r w:rsidR="006D4C23">
        <w:rPr>
          <w:rFonts w:cs="Calibri"/>
        </w:rPr>
        <w:t>Token Holder</w:t>
      </w:r>
      <w:r w:rsidRPr="00AA6D41">
        <w:rPr>
          <w:rFonts w:cs="Calibri"/>
        </w:rPr>
        <w:t xml:space="preserve"> no longer holds an Interest in the Fund to the extent required to comply with the Fund's regulatory or legal obligations. Further details on the purposes for which the Fund Processes your Personal Data and its policies regarding retention of such data is set out in supplemental documentation, which is made available to the </w:t>
      </w:r>
      <w:r w:rsidR="00DF22AB" w:rsidRPr="00AA6D41">
        <w:rPr>
          <w:rFonts w:cs="Calibri"/>
        </w:rPr>
        <w:t>Token Holders</w:t>
      </w:r>
      <w:r w:rsidRPr="00AA6D41">
        <w:rPr>
          <w:rFonts w:cs="Calibri"/>
        </w:rPr>
        <w:t>.</w:t>
      </w:r>
    </w:p>
    <w:p w14:paraId="131C6525" w14:textId="26B4343F" w:rsidR="00B23A6C" w:rsidRPr="00AA6D41" w:rsidRDefault="00B23A6C" w:rsidP="00AA6D41">
      <w:pPr>
        <w:pStyle w:val="Level3Number"/>
        <w:rPr>
          <w:rFonts w:cs="Calibri"/>
        </w:rPr>
      </w:pPr>
      <w:r w:rsidRPr="00AA6D41">
        <w:rPr>
          <w:rFonts w:cs="Calibri"/>
        </w:rPr>
        <w:t>Each prospective investor acknowledges that the Fund</w:t>
      </w:r>
      <w:r w:rsidR="00DF22AB" w:rsidRPr="00AA6D41">
        <w:rPr>
          <w:rFonts w:cs="Calibri"/>
        </w:rPr>
        <w:t xml:space="preserve"> and</w:t>
      </w:r>
      <w:r w:rsidRPr="00AA6D41">
        <w:rPr>
          <w:rFonts w:cs="Calibri"/>
        </w:rPr>
        <w:t xml:space="preserve"> the Fund Manager may be required to transfer any of the Personal Data which they hold out of the ADGM. In such an instance, the Fund will always ensure that an appropriate transfer mechanism and other suitable security </w:t>
      </w:r>
      <w:r w:rsidRPr="00AA6D41">
        <w:rPr>
          <w:rFonts w:cs="Calibri"/>
        </w:rPr>
        <w:lastRenderedPageBreak/>
        <w:t xml:space="preserve">measures are in place to protect, facilitate and legitimise such transfer in accordance with the Data Protection Regulations. </w:t>
      </w:r>
    </w:p>
    <w:p w14:paraId="7AD7E568" w14:textId="23E61972" w:rsidR="00B23A6C" w:rsidRPr="00AA6D41" w:rsidRDefault="00B23A6C" w:rsidP="00AA6D41">
      <w:pPr>
        <w:pStyle w:val="Level3Number"/>
        <w:rPr>
          <w:rFonts w:cs="Calibri"/>
        </w:rPr>
      </w:pPr>
      <w:r w:rsidRPr="00AA6D41">
        <w:rPr>
          <w:rFonts w:cs="Calibri"/>
        </w:rPr>
        <w:t xml:space="preserve">The Fund, the </w:t>
      </w:r>
      <w:r w:rsidR="00DF22AB" w:rsidRPr="00AA6D41">
        <w:rPr>
          <w:rFonts w:cs="Calibri"/>
        </w:rPr>
        <w:t xml:space="preserve">Fund </w:t>
      </w:r>
      <w:r w:rsidRPr="00AA6D41">
        <w:rPr>
          <w:rFonts w:cs="Calibri"/>
        </w:rPr>
        <w:t xml:space="preserve">Manager and/or Administrator may be required to disclose and/or transfer the Personal Data held by the Fund, to auditors, including their employees, officers, directors and agents and/or to the ultimate holding companies of the </w:t>
      </w:r>
      <w:r w:rsidR="00DF22AB" w:rsidRPr="00AA6D41">
        <w:rPr>
          <w:rFonts w:cs="Calibri"/>
        </w:rPr>
        <w:t xml:space="preserve">Fund </w:t>
      </w:r>
      <w:r w:rsidRPr="00AA6D41">
        <w:rPr>
          <w:rFonts w:cs="Calibri"/>
        </w:rPr>
        <w:t xml:space="preserve">Manager and/or its subsidiaries and/or </w:t>
      </w:r>
      <w:r w:rsidR="00C54A74">
        <w:rPr>
          <w:rFonts w:cs="Calibri"/>
        </w:rPr>
        <w:t>Affiliate</w:t>
      </w:r>
      <w:r w:rsidRPr="00AA6D41">
        <w:rPr>
          <w:rFonts w:cs="Calibri"/>
        </w:rPr>
        <w:t>s or to any third party employed to provide administrative, computer or other services or facilities. Where any disclosure of Personal Data is required, the Fund</w:t>
      </w:r>
      <w:r w:rsidR="00DF22AB" w:rsidRPr="00AA6D41">
        <w:rPr>
          <w:rFonts w:cs="Calibri"/>
        </w:rPr>
        <w:t xml:space="preserve"> Manager</w:t>
      </w:r>
      <w:r w:rsidRPr="00AA6D41">
        <w:rPr>
          <w:rFonts w:cs="Calibri"/>
        </w:rPr>
        <w:t xml:space="preserve"> will implement contractual protections and assurances that comply with its requirements under the Data Protection Regulations and to ensure the confidentiality of the Personal Data being shared. </w:t>
      </w:r>
    </w:p>
    <w:p w14:paraId="4788CE40" w14:textId="64E33FD9" w:rsidR="00B23A6C" w:rsidRPr="004126E5" w:rsidRDefault="00B23A6C" w:rsidP="00A51204">
      <w:pPr>
        <w:pStyle w:val="BodyText"/>
        <w:rPr>
          <w:rFonts w:cs="Calibri"/>
        </w:rPr>
      </w:pPr>
      <w:r w:rsidRPr="004126E5">
        <w:rPr>
          <w:rFonts w:cs="Calibri"/>
        </w:rPr>
        <w:br w:type="page"/>
      </w:r>
    </w:p>
    <w:p w14:paraId="3324963A" w14:textId="76DAD39C" w:rsidR="00B23A6C" w:rsidRDefault="00BD3A56" w:rsidP="00BD3A56">
      <w:pPr>
        <w:pStyle w:val="Appendix"/>
        <w:rPr>
          <w:rFonts w:cs="Calibri"/>
        </w:rPr>
      </w:pPr>
      <w:bookmarkStart w:id="26" w:name="_Toc166755349"/>
      <w:bookmarkStart w:id="27" w:name="_Toc166756604"/>
      <w:bookmarkStart w:id="28" w:name="_Toc166755350"/>
      <w:bookmarkStart w:id="29" w:name="_Toc166756605"/>
      <w:bookmarkEnd w:id="26"/>
      <w:bookmarkEnd w:id="27"/>
      <w:r w:rsidRPr="004126E5">
        <w:rPr>
          <w:rFonts w:cs="Calibri"/>
        </w:rPr>
        <w:lastRenderedPageBreak/>
        <w:t xml:space="preserve"> </w:t>
      </w:r>
      <w:bookmarkStart w:id="30" w:name="_Toc166756692"/>
      <w:bookmarkStart w:id="31" w:name="_Toc166757621"/>
      <w:bookmarkStart w:id="32" w:name="_Toc166760205"/>
      <w:bookmarkStart w:id="33" w:name="_Ref166760329"/>
      <w:bookmarkStart w:id="34" w:name="_Toc169612964"/>
      <w:r w:rsidR="00274F95">
        <w:rPr>
          <w:rFonts w:cs="Calibri"/>
        </w:rPr>
        <w:t>–</w:t>
      </w:r>
      <w:r w:rsidRPr="004126E5">
        <w:rPr>
          <w:rFonts w:cs="Calibri"/>
        </w:rPr>
        <w:t xml:space="preserve"> </w:t>
      </w:r>
      <w:bookmarkEnd w:id="28"/>
      <w:bookmarkEnd w:id="29"/>
      <w:bookmarkEnd w:id="30"/>
      <w:bookmarkEnd w:id="31"/>
      <w:bookmarkEnd w:id="32"/>
      <w:bookmarkEnd w:id="33"/>
      <w:r w:rsidR="00E7425A">
        <w:rPr>
          <w:rFonts w:cs="Calibri"/>
        </w:rPr>
        <w:t>Glossary</w:t>
      </w:r>
      <w:bookmarkEnd w:id="34"/>
    </w:p>
    <w:p w14:paraId="0FF91F8C" w14:textId="77777777" w:rsidR="00274F95" w:rsidRDefault="00274F95" w:rsidP="00274F95">
      <w:pPr>
        <w:pStyle w:val="AppendixSub"/>
      </w:pPr>
    </w:p>
    <w:p w14:paraId="76E93CE8" w14:textId="363E6EEE" w:rsidR="00DF22AB" w:rsidRPr="00DF22AB" w:rsidRDefault="00DF22AB" w:rsidP="00DF22AB">
      <w:pPr>
        <w:pStyle w:val="Appendix1Heading"/>
        <w:numPr>
          <w:ilvl w:val="0"/>
          <w:numId w:val="0"/>
        </w:numPr>
        <w:ind w:left="720" w:hanging="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96"/>
      </w:tblGrid>
      <w:tr w:rsidR="00B23A6C" w:rsidRPr="004126E5" w14:paraId="3CBB59F2" w14:textId="77777777" w:rsidTr="000B5517">
        <w:trPr>
          <w:tblHeader/>
        </w:trPr>
        <w:tc>
          <w:tcPr>
            <w:tcW w:w="3964" w:type="dxa"/>
            <w:tcBorders>
              <w:bottom w:val="single" w:sz="4" w:space="0" w:color="auto"/>
            </w:tcBorders>
          </w:tcPr>
          <w:p w14:paraId="754DAEA1" w14:textId="77777777" w:rsidR="00B23A6C" w:rsidRPr="004126E5" w:rsidRDefault="00B23A6C" w:rsidP="00A21BA3">
            <w:pPr>
              <w:pStyle w:val="BodyText"/>
              <w:rPr>
                <w:rFonts w:cs="Calibri"/>
                <w:b/>
                <w:bCs/>
              </w:rPr>
            </w:pPr>
            <w:r w:rsidRPr="004126E5">
              <w:rPr>
                <w:rFonts w:cs="Calibri"/>
                <w:b/>
                <w:bCs/>
              </w:rPr>
              <w:t>Term</w:t>
            </w:r>
          </w:p>
        </w:tc>
        <w:tc>
          <w:tcPr>
            <w:tcW w:w="5096" w:type="dxa"/>
            <w:tcBorders>
              <w:bottom w:val="single" w:sz="4" w:space="0" w:color="auto"/>
            </w:tcBorders>
          </w:tcPr>
          <w:p w14:paraId="403141F0" w14:textId="77777777" w:rsidR="00B23A6C" w:rsidRPr="004126E5" w:rsidRDefault="00B23A6C" w:rsidP="00A21BA3">
            <w:pPr>
              <w:pStyle w:val="BodyText"/>
              <w:rPr>
                <w:rFonts w:cs="Calibri"/>
                <w:b/>
                <w:bCs/>
              </w:rPr>
            </w:pPr>
            <w:r w:rsidRPr="004126E5">
              <w:rPr>
                <w:rFonts w:cs="Calibri"/>
                <w:b/>
                <w:bCs/>
              </w:rPr>
              <w:t>Definition</w:t>
            </w:r>
          </w:p>
        </w:tc>
      </w:tr>
      <w:tr w:rsidR="00B23A6C" w:rsidRPr="004126E5" w14:paraId="3DD3A206" w14:textId="77777777" w:rsidTr="00205917">
        <w:tc>
          <w:tcPr>
            <w:tcW w:w="3964" w:type="dxa"/>
          </w:tcPr>
          <w:p w14:paraId="064F193F" w14:textId="19F229AF" w:rsidR="00B23A6C" w:rsidRPr="004126E5" w:rsidRDefault="00301F05" w:rsidP="00A21BA3">
            <w:pPr>
              <w:pStyle w:val="BodyText"/>
              <w:rPr>
                <w:rFonts w:cs="Calibri"/>
              </w:rPr>
            </w:pPr>
            <w:r>
              <w:rPr>
                <w:rFonts w:cs="Calibri"/>
              </w:rPr>
              <w:t>ADGM</w:t>
            </w:r>
          </w:p>
        </w:tc>
        <w:tc>
          <w:tcPr>
            <w:tcW w:w="5096" w:type="dxa"/>
          </w:tcPr>
          <w:p w14:paraId="23884534" w14:textId="7CD4C911" w:rsidR="00B23A6C" w:rsidRPr="004126E5" w:rsidRDefault="00301F05" w:rsidP="008A7F05">
            <w:pPr>
              <w:pStyle w:val="BodyText"/>
              <w:ind w:left="720" w:hanging="681"/>
              <w:rPr>
                <w:rFonts w:cs="Calibri"/>
              </w:rPr>
            </w:pPr>
            <w:r>
              <w:rPr>
                <w:rFonts w:cs="Calibri"/>
              </w:rPr>
              <w:t>Abu Dhabi Global Market</w:t>
            </w:r>
          </w:p>
        </w:tc>
      </w:tr>
      <w:tr w:rsidR="00B847C0" w:rsidRPr="004126E5" w14:paraId="2C16E4A1" w14:textId="77777777" w:rsidTr="00F86DE2">
        <w:tc>
          <w:tcPr>
            <w:tcW w:w="3964" w:type="dxa"/>
          </w:tcPr>
          <w:p w14:paraId="196A84BE" w14:textId="51A967DC" w:rsidR="00B847C0" w:rsidRPr="004126E5" w:rsidRDefault="00B847C0" w:rsidP="00F86DE2">
            <w:pPr>
              <w:pStyle w:val="BodyText"/>
              <w:rPr>
                <w:rFonts w:cs="Calibri"/>
              </w:rPr>
            </w:pPr>
            <w:r>
              <w:rPr>
                <w:rFonts w:cs="Calibri"/>
              </w:rPr>
              <w:t>ADGM Laws</w:t>
            </w:r>
          </w:p>
        </w:tc>
        <w:tc>
          <w:tcPr>
            <w:tcW w:w="5096" w:type="dxa"/>
          </w:tcPr>
          <w:p w14:paraId="26733076" w14:textId="6827146E" w:rsidR="00B847C0" w:rsidRPr="004126E5" w:rsidRDefault="00B847C0" w:rsidP="00B847C0">
            <w:pPr>
              <w:pStyle w:val="BodyText"/>
              <w:ind w:left="39"/>
              <w:rPr>
                <w:rFonts w:cs="Calibri"/>
              </w:rPr>
            </w:pPr>
            <w:r>
              <w:rPr>
                <w:rFonts w:cs="Calibri"/>
              </w:rPr>
              <w:t xml:space="preserve">ADGM </w:t>
            </w:r>
            <w:r w:rsidRPr="004126E5">
              <w:rPr>
                <w:rFonts w:cs="Calibri"/>
              </w:rPr>
              <w:t>Financial Services and Markets Regulations 2015</w:t>
            </w:r>
            <w:r>
              <w:rPr>
                <w:rFonts w:cs="Calibri"/>
              </w:rPr>
              <w:t xml:space="preserve"> and other applicable ADGM laws</w:t>
            </w:r>
          </w:p>
        </w:tc>
      </w:tr>
      <w:tr w:rsidR="00E7425A" w:rsidRPr="004126E5" w14:paraId="5418EE03" w14:textId="77777777" w:rsidTr="00F86DE2">
        <w:tc>
          <w:tcPr>
            <w:tcW w:w="3964" w:type="dxa"/>
          </w:tcPr>
          <w:p w14:paraId="200884B6" w14:textId="3BDDEBEA" w:rsidR="00E7425A" w:rsidRPr="004126E5" w:rsidRDefault="00E7425A" w:rsidP="00F86DE2">
            <w:pPr>
              <w:pStyle w:val="BodyText"/>
              <w:rPr>
                <w:rFonts w:cs="Calibri"/>
              </w:rPr>
            </w:pPr>
            <w:r>
              <w:rPr>
                <w:rFonts w:cs="Calibri"/>
              </w:rPr>
              <w:t>Administration Agreement</w:t>
            </w:r>
          </w:p>
        </w:tc>
        <w:tc>
          <w:tcPr>
            <w:tcW w:w="5096" w:type="dxa"/>
          </w:tcPr>
          <w:p w14:paraId="01D7EFD8" w14:textId="580B0666" w:rsidR="00E7425A" w:rsidRPr="004126E5" w:rsidRDefault="00E7425A" w:rsidP="00F86DE2">
            <w:pPr>
              <w:pStyle w:val="BodyText"/>
              <w:rPr>
                <w:rFonts w:cs="Calibri"/>
              </w:rPr>
            </w:pPr>
            <w:r>
              <w:rPr>
                <w:rFonts w:cs="Calibri"/>
              </w:rPr>
              <w:t>The administration agreement between the Fund and the Administrator.</w:t>
            </w:r>
          </w:p>
        </w:tc>
      </w:tr>
      <w:tr w:rsidR="00E7425A" w:rsidRPr="004126E5" w14:paraId="4B325170" w14:textId="77777777" w:rsidTr="00F86DE2">
        <w:tc>
          <w:tcPr>
            <w:tcW w:w="3964" w:type="dxa"/>
          </w:tcPr>
          <w:p w14:paraId="1133B7A7" w14:textId="77777777" w:rsidR="00E7425A" w:rsidRPr="004126E5" w:rsidRDefault="00E7425A" w:rsidP="00F86DE2">
            <w:pPr>
              <w:pStyle w:val="BodyText"/>
              <w:rPr>
                <w:rFonts w:cs="Calibri"/>
              </w:rPr>
            </w:pPr>
            <w:r>
              <w:rPr>
                <w:rFonts w:cs="Calibri"/>
              </w:rPr>
              <w:t>Administrator</w:t>
            </w:r>
          </w:p>
        </w:tc>
        <w:tc>
          <w:tcPr>
            <w:tcW w:w="5096" w:type="dxa"/>
          </w:tcPr>
          <w:p w14:paraId="08193C7E" w14:textId="448E88B7" w:rsidR="00E7425A" w:rsidRPr="004126E5" w:rsidRDefault="00E7425A" w:rsidP="00F86DE2">
            <w:pPr>
              <w:pStyle w:val="BodyText"/>
              <w:rPr>
                <w:rFonts w:cs="Calibri"/>
              </w:rPr>
            </w:pPr>
            <w:r>
              <w:rPr>
                <w:rFonts w:cs="Calibri"/>
              </w:rPr>
              <w:t xml:space="preserve">Ascent </w:t>
            </w:r>
            <w:r w:rsidR="001735DD">
              <w:rPr>
                <w:rFonts w:cs="Calibri"/>
              </w:rPr>
              <w:t>Fund Services Ltd.</w:t>
            </w:r>
          </w:p>
        </w:tc>
      </w:tr>
      <w:tr w:rsidR="00C54A74" w:rsidRPr="004126E5" w14:paraId="27C61ED7" w14:textId="77777777" w:rsidTr="00F86DE2">
        <w:tc>
          <w:tcPr>
            <w:tcW w:w="3964" w:type="dxa"/>
          </w:tcPr>
          <w:p w14:paraId="73453776" w14:textId="223BA5F6" w:rsidR="00C54A74" w:rsidRPr="004126E5" w:rsidRDefault="00C54A74" w:rsidP="00F86DE2">
            <w:pPr>
              <w:pStyle w:val="BodyText"/>
              <w:rPr>
                <w:rFonts w:cs="Calibri"/>
              </w:rPr>
            </w:pPr>
            <w:r>
              <w:rPr>
                <w:rFonts w:cs="Calibri"/>
              </w:rPr>
              <w:t>Affiliate</w:t>
            </w:r>
          </w:p>
        </w:tc>
        <w:tc>
          <w:tcPr>
            <w:tcW w:w="5096" w:type="dxa"/>
          </w:tcPr>
          <w:p w14:paraId="416DAE57" w14:textId="77777777" w:rsidR="00C54A74" w:rsidRPr="004126E5" w:rsidRDefault="00C54A74" w:rsidP="00F86DE2">
            <w:pPr>
              <w:pStyle w:val="BodyText"/>
              <w:rPr>
                <w:rFonts w:cs="Calibri"/>
              </w:rPr>
            </w:pPr>
            <w:r>
              <w:rPr>
                <w:rFonts w:cs="Calibri"/>
              </w:rPr>
              <w:t>As defined in the Articles</w:t>
            </w:r>
          </w:p>
        </w:tc>
      </w:tr>
      <w:tr w:rsidR="00D85975" w:rsidRPr="004126E5" w14:paraId="174304CF" w14:textId="77777777" w:rsidTr="00F86DE2">
        <w:tc>
          <w:tcPr>
            <w:tcW w:w="3964" w:type="dxa"/>
          </w:tcPr>
          <w:p w14:paraId="0CD5750E" w14:textId="3D92953E" w:rsidR="00D85975" w:rsidRPr="004126E5" w:rsidRDefault="00D85975" w:rsidP="00F86DE2">
            <w:pPr>
              <w:pStyle w:val="BodyText"/>
              <w:rPr>
                <w:rFonts w:cs="Calibri"/>
              </w:rPr>
            </w:pPr>
            <w:r>
              <w:rPr>
                <w:rFonts w:cs="Calibri"/>
              </w:rPr>
              <w:t>Articles</w:t>
            </w:r>
          </w:p>
        </w:tc>
        <w:tc>
          <w:tcPr>
            <w:tcW w:w="5096" w:type="dxa"/>
          </w:tcPr>
          <w:p w14:paraId="73F84A30" w14:textId="2BB15175" w:rsidR="00D85975" w:rsidRPr="004126E5" w:rsidRDefault="00D85975" w:rsidP="00F86DE2">
            <w:pPr>
              <w:pStyle w:val="BodyText"/>
              <w:rPr>
                <w:rFonts w:cs="Calibri"/>
              </w:rPr>
            </w:pPr>
            <w:r>
              <w:rPr>
                <w:rFonts w:cs="Calibri"/>
              </w:rPr>
              <w:t>Articles of Association of the Fund, as amended or varied from time to time</w:t>
            </w:r>
          </w:p>
        </w:tc>
      </w:tr>
      <w:tr w:rsidR="00E7425A" w:rsidRPr="004126E5" w14:paraId="0C6313C4" w14:textId="77777777" w:rsidTr="00F86DE2">
        <w:tc>
          <w:tcPr>
            <w:tcW w:w="3964" w:type="dxa"/>
          </w:tcPr>
          <w:p w14:paraId="3E367D53" w14:textId="4E5EE7C0" w:rsidR="00E7425A" w:rsidRPr="004126E5" w:rsidRDefault="00E7425A" w:rsidP="00F86DE2">
            <w:pPr>
              <w:pStyle w:val="BodyText"/>
              <w:rPr>
                <w:rFonts w:cs="Calibri"/>
              </w:rPr>
            </w:pPr>
            <w:r>
              <w:rPr>
                <w:rFonts w:cs="Calibri"/>
              </w:rPr>
              <w:t>Auditor</w:t>
            </w:r>
          </w:p>
        </w:tc>
        <w:tc>
          <w:tcPr>
            <w:tcW w:w="5096" w:type="dxa"/>
          </w:tcPr>
          <w:p w14:paraId="4B72C101" w14:textId="6121953D" w:rsidR="00E7425A" w:rsidRPr="004126E5" w:rsidRDefault="00E7425A" w:rsidP="00F86DE2">
            <w:pPr>
              <w:pStyle w:val="BodyText"/>
              <w:rPr>
                <w:rFonts w:cs="Calibri"/>
              </w:rPr>
            </w:pPr>
            <w:r>
              <w:rPr>
                <w:rFonts w:cs="Calibri"/>
              </w:rPr>
              <w:t>Grant Thornton</w:t>
            </w:r>
          </w:p>
        </w:tc>
      </w:tr>
      <w:tr w:rsidR="00B23A6C" w:rsidRPr="004126E5" w14:paraId="3A724717" w14:textId="77777777" w:rsidTr="00205917">
        <w:tc>
          <w:tcPr>
            <w:tcW w:w="3964" w:type="dxa"/>
          </w:tcPr>
          <w:p w14:paraId="5194D2EB" w14:textId="22A87795" w:rsidR="00B23A6C" w:rsidRPr="004126E5" w:rsidRDefault="00301F05" w:rsidP="00A21BA3">
            <w:pPr>
              <w:pStyle w:val="BodyText"/>
              <w:rPr>
                <w:rFonts w:cs="Calibri"/>
              </w:rPr>
            </w:pPr>
            <w:r>
              <w:rPr>
                <w:rFonts w:cs="Calibri"/>
              </w:rPr>
              <w:t>AUM</w:t>
            </w:r>
          </w:p>
        </w:tc>
        <w:tc>
          <w:tcPr>
            <w:tcW w:w="5096" w:type="dxa"/>
          </w:tcPr>
          <w:p w14:paraId="556C652D" w14:textId="43981C50" w:rsidR="00B23A6C" w:rsidRPr="004126E5" w:rsidRDefault="00301F05" w:rsidP="00A21BA3">
            <w:pPr>
              <w:pStyle w:val="BodyText"/>
              <w:rPr>
                <w:rFonts w:cs="Calibri"/>
              </w:rPr>
            </w:pPr>
            <w:r>
              <w:rPr>
                <w:rFonts w:cs="Calibri"/>
              </w:rPr>
              <w:t>Total value of assets under management of the Fund, as calculated by the Fund Management utilising its valuation principles in accordance with applicable laws.</w:t>
            </w:r>
          </w:p>
        </w:tc>
      </w:tr>
      <w:tr w:rsidR="00F57C16" w:rsidRPr="004126E5" w14:paraId="2E755CFB" w14:textId="77777777" w:rsidTr="00F86DE2">
        <w:tc>
          <w:tcPr>
            <w:tcW w:w="3964" w:type="dxa"/>
          </w:tcPr>
          <w:p w14:paraId="75627C83" w14:textId="23EC2B25" w:rsidR="00F57C16" w:rsidRPr="004126E5" w:rsidRDefault="00F57C16" w:rsidP="00F86DE2">
            <w:pPr>
              <w:pStyle w:val="BodyText"/>
              <w:rPr>
                <w:rFonts w:cs="Calibri"/>
              </w:rPr>
            </w:pPr>
            <w:r>
              <w:rPr>
                <w:rFonts w:cs="Calibri"/>
              </w:rPr>
              <w:t>Board</w:t>
            </w:r>
          </w:p>
        </w:tc>
        <w:tc>
          <w:tcPr>
            <w:tcW w:w="5096" w:type="dxa"/>
          </w:tcPr>
          <w:p w14:paraId="5E4F9789" w14:textId="0EB9693C" w:rsidR="00F57C16" w:rsidRPr="004126E5" w:rsidRDefault="00F57C16" w:rsidP="00F86DE2">
            <w:pPr>
              <w:pStyle w:val="BodyText"/>
              <w:rPr>
                <w:rFonts w:cs="Calibri"/>
              </w:rPr>
            </w:pPr>
            <w:r>
              <w:rPr>
                <w:rFonts w:cs="Calibri"/>
              </w:rPr>
              <w:t>Board of directors of the Fund</w:t>
            </w:r>
          </w:p>
        </w:tc>
      </w:tr>
      <w:tr w:rsidR="004E77E1" w:rsidRPr="004126E5" w14:paraId="73D3B1CB" w14:textId="77777777" w:rsidTr="00F86DE2">
        <w:tc>
          <w:tcPr>
            <w:tcW w:w="3964" w:type="dxa"/>
          </w:tcPr>
          <w:p w14:paraId="1EFD15D5" w14:textId="18EAC7EA" w:rsidR="004E77E1" w:rsidRPr="004126E5" w:rsidRDefault="004E77E1" w:rsidP="00F86DE2">
            <w:pPr>
              <w:pStyle w:val="BodyText"/>
              <w:rPr>
                <w:rFonts w:cs="Calibri"/>
              </w:rPr>
            </w:pPr>
            <w:r>
              <w:rPr>
                <w:rFonts w:cs="Calibri"/>
              </w:rPr>
              <w:t>Business Days</w:t>
            </w:r>
          </w:p>
        </w:tc>
        <w:tc>
          <w:tcPr>
            <w:tcW w:w="5096" w:type="dxa"/>
          </w:tcPr>
          <w:p w14:paraId="6E3B4BB1" w14:textId="025516FB" w:rsidR="004E77E1" w:rsidRPr="004126E5" w:rsidRDefault="009118FB" w:rsidP="00F86DE2">
            <w:pPr>
              <w:pStyle w:val="BodyText"/>
              <w:rPr>
                <w:rFonts w:cs="Calibri"/>
              </w:rPr>
            </w:pPr>
            <w:r>
              <w:rPr>
                <w:rFonts w:cs="Calibri"/>
              </w:rPr>
              <w:t>A</w:t>
            </w:r>
            <w:r w:rsidRPr="00E7291D">
              <w:rPr>
                <w:rFonts w:cs="Calibri"/>
              </w:rPr>
              <w:t>ny day (except Saturday or Sunday) on which banks in UAE are open for business and/or such other day or days as may be determined by the Fund Manager in its discretion from time to time.</w:t>
            </w:r>
          </w:p>
        </w:tc>
      </w:tr>
      <w:tr w:rsidR="000B5517" w:rsidRPr="004126E5" w14:paraId="4E94779A" w14:textId="77777777" w:rsidTr="00F86DE2">
        <w:tc>
          <w:tcPr>
            <w:tcW w:w="3964" w:type="dxa"/>
          </w:tcPr>
          <w:p w14:paraId="2FC44068" w14:textId="4B9F52C0" w:rsidR="000B5517" w:rsidRPr="004126E5" w:rsidRDefault="000B5517" w:rsidP="00F86DE2">
            <w:pPr>
              <w:pStyle w:val="BodyText"/>
              <w:rPr>
                <w:rFonts w:cs="Calibri"/>
              </w:rPr>
            </w:pPr>
            <w:r>
              <w:rPr>
                <w:rFonts w:cs="Calibri"/>
              </w:rPr>
              <w:t>CRS</w:t>
            </w:r>
          </w:p>
        </w:tc>
        <w:tc>
          <w:tcPr>
            <w:tcW w:w="5096" w:type="dxa"/>
          </w:tcPr>
          <w:p w14:paraId="16E79D91" w14:textId="10340207" w:rsidR="000B5517" w:rsidRPr="004126E5" w:rsidRDefault="000B5517" w:rsidP="00F86DE2">
            <w:pPr>
              <w:pStyle w:val="BodyText"/>
              <w:rPr>
                <w:rFonts w:cs="Calibri"/>
              </w:rPr>
            </w:pPr>
            <w:r>
              <w:rPr>
                <w:rFonts w:cs="Calibri"/>
              </w:rPr>
              <w:t>Has the meaning given in section 8 of Part VII of this Prospectus</w:t>
            </w:r>
          </w:p>
        </w:tc>
      </w:tr>
      <w:tr w:rsidR="000B5517" w:rsidRPr="004126E5" w14:paraId="586487C6" w14:textId="77777777" w:rsidTr="00F86DE2">
        <w:tc>
          <w:tcPr>
            <w:tcW w:w="3964" w:type="dxa"/>
          </w:tcPr>
          <w:p w14:paraId="58FB4EF1" w14:textId="5DDA03E6" w:rsidR="000B5517" w:rsidRPr="004126E5" w:rsidRDefault="000B5517" w:rsidP="00F86DE2">
            <w:pPr>
              <w:pStyle w:val="BodyText"/>
              <w:rPr>
                <w:rFonts w:cs="Calibri"/>
              </w:rPr>
            </w:pPr>
            <w:r>
              <w:rPr>
                <w:rFonts w:cs="Calibri"/>
              </w:rPr>
              <w:t>Data Protection Regulations</w:t>
            </w:r>
          </w:p>
        </w:tc>
        <w:tc>
          <w:tcPr>
            <w:tcW w:w="5096" w:type="dxa"/>
          </w:tcPr>
          <w:p w14:paraId="3C104CF1" w14:textId="7BEB62A3" w:rsidR="000B5517" w:rsidRPr="004126E5" w:rsidRDefault="000B5517" w:rsidP="00F86DE2">
            <w:pPr>
              <w:pStyle w:val="BodyText"/>
              <w:rPr>
                <w:rFonts w:cs="Calibri"/>
              </w:rPr>
            </w:pPr>
            <w:r>
              <w:rPr>
                <w:rFonts w:cs="Calibri"/>
              </w:rPr>
              <w:t>Has the meaning given in section 9.1 of Part VII of this Prospectus</w:t>
            </w:r>
          </w:p>
        </w:tc>
      </w:tr>
      <w:tr w:rsidR="000B5517" w:rsidRPr="004126E5" w14:paraId="4CD8005C" w14:textId="77777777" w:rsidTr="00F86DE2">
        <w:tc>
          <w:tcPr>
            <w:tcW w:w="3964" w:type="dxa"/>
          </w:tcPr>
          <w:p w14:paraId="3FA13B6D" w14:textId="77777777" w:rsidR="000B5517" w:rsidRPr="004126E5" w:rsidRDefault="000B5517" w:rsidP="00F86DE2">
            <w:pPr>
              <w:pStyle w:val="BodyText"/>
              <w:rPr>
                <w:rFonts w:cs="Calibri"/>
              </w:rPr>
            </w:pPr>
            <w:r>
              <w:rPr>
                <w:rFonts w:cs="Calibri"/>
              </w:rPr>
              <w:t>Directors</w:t>
            </w:r>
          </w:p>
        </w:tc>
        <w:tc>
          <w:tcPr>
            <w:tcW w:w="5096" w:type="dxa"/>
          </w:tcPr>
          <w:p w14:paraId="27719E70" w14:textId="77777777" w:rsidR="000B5517" w:rsidRPr="004126E5" w:rsidRDefault="000B5517" w:rsidP="00F86DE2">
            <w:pPr>
              <w:pStyle w:val="BodyText"/>
              <w:rPr>
                <w:rFonts w:cs="Calibri"/>
              </w:rPr>
            </w:pPr>
            <w:r>
              <w:rPr>
                <w:rFonts w:cs="Calibri"/>
              </w:rPr>
              <w:t>The directors, being the members of the Board</w:t>
            </w:r>
          </w:p>
        </w:tc>
      </w:tr>
      <w:tr w:rsidR="00B847C0" w:rsidRPr="004126E5" w14:paraId="439736BF" w14:textId="77777777" w:rsidTr="00F86DE2">
        <w:tc>
          <w:tcPr>
            <w:tcW w:w="3964" w:type="dxa"/>
          </w:tcPr>
          <w:p w14:paraId="13974A8C" w14:textId="5EFB52BD" w:rsidR="00B847C0" w:rsidRPr="004126E5" w:rsidRDefault="000B5517" w:rsidP="00F86DE2">
            <w:pPr>
              <w:pStyle w:val="BodyText"/>
              <w:rPr>
                <w:rFonts w:cs="Calibri"/>
              </w:rPr>
            </w:pPr>
            <w:r>
              <w:rPr>
                <w:rFonts w:cs="Calibri"/>
              </w:rPr>
              <w:t>Domestic Fund</w:t>
            </w:r>
          </w:p>
        </w:tc>
        <w:tc>
          <w:tcPr>
            <w:tcW w:w="5096" w:type="dxa"/>
          </w:tcPr>
          <w:p w14:paraId="2E13AB16" w14:textId="3524273E" w:rsidR="00B847C0" w:rsidRPr="004126E5" w:rsidRDefault="000B5517" w:rsidP="00F86DE2">
            <w:pPr>
              <w:pStyle w:val="BodyText"/>
              <w:rPr>
                <w:rFonts w:cs="Calibri"/>
              </w:rPr>
            </w:pPr>
            <w:r>
              <w:rPr>
                <w:rFonts w:cs="Calibri"/>
              </w:rPr>
              <w:t>A Domestic Fund as defined in the FSRA Rules</w:t>
            </w:r>
          </w:p>
        </w:tc>
      </w:tr>
      <w:tr w:rsidR="00B23A6C" w:rsidRPr="004126E5" w14:paraId="79CD63DB" w14:textId="77777777" w:rsidTr="00205917">
        <w:tc>
          <w:tcPr>
            <w:tcW w:w="3964" w:type="dxa"/>
          </w:tcPr>
          <w:p w14:paraId="4D1E0BBB" w14:textId="7DFA6066" w:rsidR="00B23A6C" w:rsidRPr="004126E5" w:rsidRDefault="00E7425A" w:rsidP="00A21BA3">
            <w:pPr>
              <w:pStyle w:val="BodyText"/>
              <w:rPr>
                <w:rFonts w:cs="Calibri"/>
              </w:rPr>
            </w:pPr>
            <w:r>
              <w:rPr>
                <w:rFonts w:cs="Calibri"/>
              </w:rPr>
              <w:t>ETF</w:t>
            </w:r>
          </w:p>
        </w:tc>
        <w:tc>
          <w:tcPr>
            <w:tcW w:w="5096" w:type="dxa"/>
          </w:tcPr>
          <w:p w14:paraId="14B4DEA0" w14:textId="78296504" w:rsidR="00B23A6C" w:rsidRPr="004126E5" w:rsidRDefault="00E7425A" w:rsidP="00A21BA3">
            <w:pPr>
              <w:pStyle w:val="BodyText"/>
              <w:rPr>
                <w:rFonts w:cs="Calibri"/>
              </w:rPr>
            </w:pPr>
            <w:r>
              <w:rPr>
                <w:rFonts w:cs="Calibri"/>
              </w:rPr>
              <w:t>Exchange Traded Fund</w:t>
            </w:r>
          </w:p>
        </w:tc>
      </w:tr>
      <w:tr w:rsidR="000B5517" w:rsidRPr="004126E5" w14:paraId="7A558394" w14:textId="77777777" w:rsidTr="00F86DE2">
        <w:tc>
          <w:tcPr>
            <w:tcW w:w="3964" w:type="dxa"/>
          </w:tcPr>
          <w:p w14:paraId="23D346C0" w14:textId="6CFF04E6" w:rsidR="000B5517" w:rsidRPr="004126E5" w:rsidRDefault="000B5517" w:rsidP="00F86DE2">
            <w:pPr>
              <w:pStyle w:val="BodyText"/>
              <w:rPr>
                <w:rFonts w:cs="Calibri"/>
              </w:rPr>
            </w:pPr>
            <w:r>
              <w:rPr>
                <w:rFonts w:cs="Calibri"/>
              </w:rPr>
              <w:t>Exempt Fund</w:t>
            </w:r>
          </w:p>
        </w:tc>
        <w:tc>
          <w:tcPr>
            <w:tcW w:w="5096" w:type="dxa"/>
          </w:tcPr>
          <w:p w14:paraId="7B4DFFA6" w14:textId="77777777" w:rsidR="000B5517" w:rsidRPr="004126E5" w:rsidRDefault="000B5517" w:rsidP="00F86DE2">
            <w:pPr>
              <w:pStyle w:val="BodyText"/>
              <w:rPr>
                <w:rFonts w:cs="Calibri"/>
              </w:rPr>
            </w:pPr>
            <w:r>
              <w:rPr>
                <w:rFonts w:cs="Calibri"/>
              </w:rPr>
              <w:t>A Domestic Fund as defined in the FSRA Rules</w:t>
            </w:r>
          </w:p>
        </w:tc>
      </w:tr>
      <w:tr w:rsidR="000B5517" w:rsidRPr="004126E5" w14:paraId="75C51A73" w14:textId="77777777" w:rsidTr="00F86DE2">
        <w:tc>
          <w:tcPr>
            <w:tcW w:w="3964" w:type="dxa"/>
          </w:tcPr>
          <w:p w14:paraId="6EBFE280" w14:textId="62559A59" w:rsidR="000B5517" w:rsidRPr="004126E5" w:rsidRDefault="000B5517" w:rsidP="00F86DE2">
            <w:pPr>
              <w:pStyle w:val="BodyText"/>
              <w:rPr>
                <w:rFonts w:cs="Calibri"/>
              </w:rPr>
            </w:pPr>
            <w:r>
              <w:rPr>
                <w:rFonts w:cs="Calibri"/>
              </w:rPr>
              <w:t>FATCA</w:t>
            </w:r>
          </w:p>
        </w:tc>
        <w:tc>
          <w:tcPr>
            <w:tcW w:w="5096" w:type="dxa"/>
          </w:tcPr>
          <w:p w14:paraId="526131EC" w14:textId="4A529AF7" w:rsidR="000B5517" w:rsidRPr="004126E5" w:rsidRDefault="000B5517" w:rsidP="00F86DE2">
            <w:pPr>
              <w:pStyle w:val="BodyText"/>
              <w:rPr>
                <w:rFonts w:cs="Calibri"/>
              </w:rPr>
            </w:pPr>
            <w:r>
              <w:rPr>
                <w:rFonts w:cs="Calibri"/>
              </w:rPr>
              <w:t>Has the meaning given in section 7.1 of Part VII of this Prospectus</w:t>
            </w:r>
          </w:p>
        </w:tc>
      </w:tr>
      <w:tr w:rsidR="00B23A6C" w:rsidRPr="004126E5" w14:paraId="0C21097C" w14:textId="77777777" w:rsidTr="00205917">
        <w:tc>
          <w:tcPr>
            <w:tcW w:w="3964" w:type="dxa"/>
          </w:tcPr>
          <w:p w14:paraId="577CD08D" w14:textId="3B0F7869" w:rsidR="00B23A6C" w:rsidRPr="004126E5" w:rsidRDefault="00301F05" w:rsidP="00A21BA3">
            <w:pPr>
              <w:pStyle w:val="BodyText"/>
              <w:rPr>
                <w:rFonts w:cs="Calibri"/>
              </w:rPr>
            </w:pPr>
            <w:r>
              <w:rPr>
                <w:rFonts w:cs="Calibri"/>
              </w:rPr>
              <w:t>Fund</w:t>
            </w:r>
          </w:p>
        </w:tc>
        <w:tc>
          <w:tcPr>
            <w:tcW w:w="5096" w:type="dxa"/>
          </w:tcPr>
          <w:p w14:paraId="6A59A522" w14:textId="2F9C5513" w:rsidR="00B23A6C" w:rsidRPr="004126E5" w:rsidRDefault="00301F05" w:rsidP="00A21BA3">
            <w:pPr>
              <w:pStyle w:val="BodyText"/>
              <w:rPr>
                <w:rFonts w:cs="Calibri"/>
              </w:rPr>
            </w:pPr>
            <w:r>
              <w:rPr>
                <w:rFonts w:cs="Calibri"/>
              </w:rPr>
              <w:t>Realize T-BILLS Fund (OEIC) Limited</w:t>
            </w:r>
          </w:p>
        </w:tc>
      </w:tr>
      <w:tr w:rsidR="006D4C23" w:rsidRPr="004126E5" w14:paraId="4D7F1A9A" w14:textId="77777777" w:rsidTr="00F86DE2">
        <w:tc>
          <w:tcPr>
            <w:tcW w:w="3964" w:type="dxa"/>
          </w:tcPr>
          <w:p w14:paraId="0E531D4D" w14:textId="3DD12C07" w:rsidR="006D4C23" w:rsidRPr="004126E5" w:rsidRDefault="006D4C23" w:rsidP="00F86DE2">
            <w:pPr>
              <w:pStyle w:val="BodyText"/>
              <w:rPr>
                <w:rFonts w:cs="Calibri"/>
              </w:rPr>
            </w:pPr>
            <w:r>
              <w:rPr>
                <w:rFonts w:cs="Calibri"/>
              </w:rPr>
              <w:lastRenderedPageBreak/>
              <w:t>Fund Management Agreement</w:t>
            </w:r>
          </w:p>
        </w:tc>
        <w:tc>
          <w:tcPr>
            <w:tcW w:w="5096" w:type="dxa"/>
          </w:tcPr>
          <w:p w14:paraId="2597D97B" w14:textId="6F652844" w:rsidR="006D4C23" w:rsidRPr="004126E5" w:rsidRDefault="006D4C23" w:rsidP="00F86DE2">
            <w:pPr>
              <w:pStyle w:val="BodyText"/>
              <w:rPr>
                <w:rFonts w:cs="Calibri"/>
              </w:rPr>
            </w:pPr>
            <w:r>
              <w:rPr>
                <w:rFonts w:cs="Calibri"/>
              </w:rPr>
              <w:t>Fund management agreement between the Fund and the Fund Manager</w:t>
            </w:r>
          </w:p>
        </w:tc>
      </w:tr>
      <w:tr w:rsidR="00B847C0" w:rsidRPr="004126E5" w14:paraId="6EDB998C" w14:textId="77777777" w:rsidTr="00F86DE2">
        <w:tc>
          <w:tcPr>
            <w:tcW w:w="3964" w:type="dxa"/>
          </w:tcPr>
          <w:p w14:paraId="38327ED1" w14:textId="6F5797D0" w:rsidR="00B847C0" w:rsidRPr="004126E5" w:rsidRDefault="00B847C0" w:rsidP="00F86DE2">
            <w:pPr>
              <w:pStyle w:val="BodyText"/>
              <w:rPr>
                <w:rFonts w:cs="Calibri"/>
              </w:rPr>
            </w:pPr>
            <w:r>
              <w:rPr>
                <w:rFonts w:cs="Calibri"/>
              </w:rPr>
              <w:t>Fund Manager</w:t>
            </w:r>
          </w:p>
        </w:tc>
        <w:tc>
          <w:tcPr>
            <w:tcW w:w="5096" w:type="dxa"/>
          </w:tcPr>
          <w:p w14:paraId="0437E1BC" w14:textId="7EC82D6C" w:rsidR="00B847C0" w:rsidRPr="004126E5" w:rsidRDefault="00B847C0" w:rsidP="00F86DE2">
            <w:pPr>
              <w:pStyle w:val="BodyText"/>
              <w:rPr>
                <w:rFonts w:cs="Calibri"/>
              </w:rPr>
            </w:pPr>
            <w:proofErr w:type="spellStart"/>
            <w:r>
              <w:rPr>
                <w:rFonts w:cs="Calibri"/>
              </w:rPr>
              <w:t>Neovision</w:t>
            </w:r>
            <w:proofErr w:type="spellEnd"/>
            <w:r>
              <w:rPr>
                <w:rFonts w:cs="Calibri"/>
              </w:rPr>
              <w:t xml:space="preserve"> Wealth Management Limited</w:t>
            </w:r>
          </w:p>
        </w:tc>
      </w:tr>
      <w:tr w:rsidR="00B847C0" w:rsidRPr="004126E5" w14:paraId="7C92932B" w14:textId="77777777" w:rsidTr="00F86DE2">
        <w:tc>
          <w:tcPr>
            <w:tcW w:w="3964" w:type="dxa"/>
          </w:tcPr>
          <w:p w14:paraId="290FF5D8" w14:textId="77777777" w:rsidR="00B847C0" w:rsidRPr="004126E5" w:rsidRDefault="00B847C0" w:rsidP="00F86DE2">
            <w:pPr>
              <w:pStyle w:val="BodyText"/>
              <w:rPr>
                <w:rFonts w:cs="Calibri"/>
              </w:rPr>
            </w:pPr>
            <w:r>
              <w:rPr>
                <w:rFonts w:cs="Calibri"/>
              </w:rPr>
              <w:t>FSRA</w:t>
            </w:r>
          </w:p>
        </w:tc>
        <w:tc>
          <w:tcPr>
            <w:tcW w:w="5096" w:type="dxa"/>
          </w:tcPr>
          <w:p w14:paraId="64571A23" w14:textId="77777777" w:rsidR="00B847C0" w:rsidRPr="004126E5" w:rsidRDefault="00B847C0" w:rsidP="00F86DE2">
            <w:pPr>
              <w:pStyle w:val="BodyText"/>
              <w:rPr>
                <w:rFonts w:cs="Calibri"/>
              </w:rPr>
            </w:pPr>
            <w:r>
              <w:rPr>
                <w:rFonts w:cs="Calibri"/>
              </w:rPr>
              <w:t>ADGM's Financial Services Regulatory Authority</w:t>
            </w:r>
          </w:p>
        </w:tc>
      </w:tr>
      <w:tr w:rsidR="00E7425A" w:rsidRPr="004126E5" w14:paraId="01E8E070" w14:textId="77777777" w:rsidTr="00F86DE2">
        <w:tc>
          <w:tcPr>
            <w:tcW w:w="3964" w:type="dxa"/>
          </w:tcPr>
          <w:p w14:paraId="5ED33485" w14:textId="35B11EFA" w:rsidR="00E7425A" w:rsidRPr="004126E5" w:rsidRDefault="00E7425A" w:rsidP="00F86DE2">
            <w:pPr>
              <w:pStyle w:val="BodyText"/>
              <w:rPr>
                <w:rFonts w:cs="Calibri"/>
              </w:rPr>
            </w:pPr>
            <w:r>
              <w:rPr>
                <w:rFonts w:cs="Calibri"/>
              </w:rPr>
              <w:t>FSRA</w:t>
            </w:r>
            <w:r w:rsidR="00B847C0">
              <w:rPr>
                <w:rFonts w:cs="Calibri"/>
              </w:rPr>
              <w:t xml:space="preserve"> Rules</w:t>
            </w:r>
          </w:p>
        </w:tc>
        <w:tc>
          <w:tcPr>
            <w:tcW w:w="5096" w:type="dxa"/>
          </w:tcPr>
          <w:p w14:paraId="6792B2F9" w14:textId="428C03A5" w:rsidR="00E7425A" w:rsidRPr="004126E5" w:rsidRDefault="00B847C0" w:rsidP="00F86DE2">
            <w:pPr>
              <w:pStyle w:val="BodyText"/>
              <w:rPr>
                <w:rFonts w:cs="Calibri"/>
              </w:rPr>
            </w:pPr>
            <w:r>
              <w:rPr>
                <w:rFonts w:cs="Calibri"/>
              </w:rPr>
              <w:t>The rulebook of the FSRA</w:t>
            </w:r>
          </w:p>
        </w:tc>
      </w:tr>
      <w:tr w:rsidR="000E6626" w:rsidRPr="004126E5" w14:paraId="256CCFC0" w14:textId="77777777" w:rsidTr="00F86DE2">
        <w:tc>
          <w:tcPr>
            <w:tcW w:w="3964" w:type="dxa"/>
          </w:tcPr>
          <w:p w14:paraId="0C888D84" w14:textId="271E182C" w:rsidR="000E6626" w:rsidRPr="004126E5" w:rsidRDefault="000E6626" w:rsidP="00F86DE2">
            <w:pPr>
              <w:pStyle w:val="BodyText"/>
              <w:rPr>
                <w:rFonts w:cs="Calibri"/>
              </w:rPr>
            </w:pPr>
            <w:r>
              <w:rPr>
                <w:rFonts w:cs="Calibri"/>
              </w:rPr>
              <w:t>Fund Burn Option</w:t>
            </w:r>
          </w:p>
        </w:tc>
        <w:tc>
          <w:tcPr>
            <w:tcW w:w="5096" w:type="dxa"/>
          </w:tcPr>
          <w:p w14:paraId="6DA9C80F" w14:textId="77777777" w:rsidR="000E6626" w:rsidRPr="004126E5" w:rsidRDefault="000E6626" w:rsidP="00F86DE2">
            <w:pPr>
              <w:pStyle w:val="BodyText"/>
              <w:rPr>
                <w:rFonts w:cs="Calibri"/>
              </w:rPr>
            </w:pPr>
            <w:r>
              <w:rPr>
                <w:rFonts w:cs="Calibri"/>
              </w:rPr>
              <w:t>As defined in the Part IV of this Prospectus (and more specifically in the Articles)</w:t>
            </w:r>
          </w:p>
        </w:tc>
      </w:tr>
      <w:tr w:rsidR="00683C9C" w:rsidRPr="004126E5" w14:paraId="167F95A2" w14:textId="77777777" w:rsidTr="00F86DE2">
        <w:tc>
          <w:tcPr>
            <w:tcW w:w="3964" w:type="dxa"/>
          </w:tcPr>
          <w:p w14:paraId="59C99A70" w14:textId="3B547AEA" w:rsidR="00683C9C" w:rsidRPr="004126E5" w:rsidRDefault="00683C9C" w:rsidP="00F86DE2">
            <w:pPr>
              <w:pStyle w:val="BodyText"/>
              <w:rPr>
                <w:rFonts w:cs="Calibri"/>
              </w:rPr>
            </w:pPr>
            <w:r>
              <w:rPr>
                <w:rFonts w:cs="Calibri"/>
              </w:rPr>
              <w:t>Indemnified Persons</w:t>
            </w:r>
          </w:p>
        </w:tc>
        <w:tc>
          <w:tcPr>
            <w:tcW w:w="5096" w:type="dxa"/>
          </w:tcPr>
          <w:p w14:paraId="263691AE" w14:textId="42274588" w:rsidR="00683C9C" w:rsidRPr="004126E5" w:rsidRDefault="00683C9C" w:rsidP="00F86DE2">
            <w:pPr>
              <w:pStyle w:val="BodyText"/>
              <w:rPr>
                <w:rFonts w:cs="Calibri"/>
              </w:rPr>
            </w:pPr>
            <w:r>
              <w:rPr>
                <w:rFonts w:cs="Calibri"/>
              </w:rPr>
              <w:t>Has the meaning given in section 6 of Part II of this Prospectus</w:t>
            </w:r>
            <w:r w:rsidR="000E6626">
              <w:rPr>
                <w:rFonts w:cs="Calibri"/>
              </w:rPr>
              <w:t xml:space="preserve"> and Part IV</w:t>
            </w:r>
          </w:p>
        </w:tc>
      </w:tr>
      <w:tr w:rsidR="000B5517" w:rsidRPr="004126E5" w14:paraId="5E8BCDDE" w14:textId="77777777" w:rsidTr="00F86DE2">
        <w:tc>
          <w:tcPr>
            <w:tcW w:w="3964" w:type="dxa"/>
          </w:tcPr>
          <w:p w14:paraId="1ED230EE" w14:textId="1AF57C68" w:rsidR="000B5517" w:rsidRPr="004126E5" w:rsidRDefault="000B5517" w:rsidP="00F86DE2">
            <w:pPr>
              <w:pStyle w:val="BodyText"/>
              <w:rPr>
                <w:rFonts w:cs="Calibri"/>
              </w:rPr>
            </w:pPr>
            <w:r>
              <w:rPr>
                <w:rFonts w:cs="Calibri"/>
              </w:rPr>
              <w:t>Interested Parties</w:t>
            </w:r>
          </w:p>
        </w:tc>
        <w:tc>
          <w:tcPr>
            <w:tcW w:w="5096" w:type="dxa"/>
          </w:tcPr>
          <w:p w14:paraId="00ABEC10" w14:textId="361D28A5" w:rsidR="000B5517" w:rsidRPr="004126E5" w:rsidRDefault="000B5517" w:rsidP="00F86DE2">
            <w:pPr>
              <w:pStyle w:val="BodyText"/>
              <w:rPr>
                <w:rFonts w:cs="Calibri"/>
              </w:rPr>
            </w:pPr>
            <w:r>
              <w:rPr>
                <w:rFonts w:cs="Calibri"/>
              </w:rPr>
              <w:t>Has the meaning given in section 1.3 of Part VII of this Prospectus</w:t>
            </w:r>
          </w:p>
        </w:tc>
      </w:tr>
      <w:tr w:rsidR="00153DFE" w:rsidRPr="004126E5" w14:paraId="3F08BCFD" w14:textId="77777777" w:rsidTr="00F86DE2">
        <w:tc>
          <w:tcPr>
            <w:tcW w:w="3964" w:type="dxa"/>
          </w:tcPr>
          <w:p w14:paraId="43CCDF02" w14:textId="13A766AB" w:rsidR="00153DFE" w:rsidRPr="004126E5" w:rsidRDefault="00153DFE" w:rsidP="00F86DE2">
            <w:pPr>
              <w:pStyle w:val="BodyText"/>
              <w:rPr>
                <w:rFonts w:cs="Calibri"/>
              </w:rPr>
            </w:pPr>
            <w:r>
              <w:rPr>
                <w:rFonts w:cs="Calibri"/>
              </w:rPr>
              <w:t>ITO</w:t>
            </w:r>
          </w:p>
        </w:tc>
        <w:tc>
          <w:tcPr>
            <w:tcW w:w="5096" w:type="dxa"/>
          </w:tcPr>
          <w:p w14:paraId="259422D3" w14:textId="4EE86DC3" w:rsidR="00153DFE" w:rsidRPr="004126E5" w:rsidRDefault="00153DFE" w:rsidP="00F86DE2">
            <w:pPr>
              <w:pStyle w:val="BodyText"/>
              <w:rPr>
                <w:rFonts w:cs="Calibri"/>
              </w:rPr>
            </w:pPr>
            <w:r>
              <w:rPr>
                <w:rFonts w:cs="Calibri"/>
              </w:rPr>
              <w:t>Initial Token Offering (and where applicable, subsequent Token offering)</w:t>
            </w:r>
          </w:p>
        </w:tc>
      </w:tr>
      <w:tr w:rsidR="00463D8F" w:rsidRPr="004126E5" w14:paraId="5C27E6F5" w14:textId="77777777" w:rsidTr="00F86DE2">
        <w:tc>
          <w:tcPr>
            <w:tcW w:w="3964" w:type="dxa"/>
          </w:tcPr>
          <w:p w14:paraId="209FBB15" w14:textId="73B17BAF" w:rsidR="00463D8F" w:rsidRPr="004126E5" w:rsidRDefault="00463D8F" w:rsidP="00F86DE2">
            <w:pPr>
              <w:pStyle w:val="BodyText"/>
              <w:rPr>
                <w:rFonts w:cs="Calibri"/>
              </w:rPr>
            </w:pPr>
            <w:r>
              <w:rPr>
                <w:rFonts w:cs="Calibri"/>
              </w:rPr>
              <w:t>Net Asset Value</w:t>
            </w:r>
            <w:r w:rsidR="00683C9C">
              <w:rPr>
                <w:rFonts w:cs="Calibri"/>
              </w:rPr>
              <w:t xml:space="preserve"> and NAV</w:t>
            </w:r>
          </w:p>
        </w:tc>
        <w:tc>
          <w:tcPr>
            <w:tcW w:w="5096" w:type="dxa"/>
          </w:tcPr>
          <w:p w14:paraId="2AD8D9CA" w14:textId="77777777" w:rsidR="00463D8F" w:rsidRPr="004126E5" w:rsidRDefault="00463D8F" w:rsidP="00F86DE2">
            <w:pPr>
              <w:pStyle w:val="BodyText"/>
              <w:rPr>
                <w:rFonts w:cs="Calibri"/>
              </w:rPr>
            </w:pPr>
            <w:r>
              <w:rPr>
                <w:rFonts w:cs="Calibri"/>
              </w:rPr>
              <w:t>As defined in the Articles</w:t>
            </w:r>
          </w:p>
        </w:tc>
      </w:tr>
      <w:tr w:rsidR="00B23A6C" w:rsidRPr="004126E5" w14:paraId="67070B2B" w14:textId="77777777" w:rsidTr="00205917">
        <w:tc>
          <w:tcPr>
            <w:tcW w:w="3964" w:type="dxa"/>
          </w:tcPr>
          <w:p w14:paraId="6A757E63" w14:textId="602330BA" w:rsidR="00B23A6C" w:rsidRPr="004126E5" w:rsidRDefault="00F34C4A" w:rsidP="00A21BA3">
            <w:pPr>
              <w:pStyle w:val="BodyText"/>
              <w:rPr>
                <w:rFonts w:cs="Calibri"/>
              </w:rPr>
            </w:pPr>
            <w:r>
              <w:rPr>
                <w:rFonts w:cs="Calibri"/>
              </w:rPr>
              <w:t>Custodian</w:t>
            </w:r>
          </w:p>
        </w:tc>
        <w:tc>
          <w:tcPr>
            <w:tcW w:w="5096" w:type="dxa"/>
          </w:tcPr>
          <w:p w14:paraId="387E797A" w14:textId="2A4473CD" w:rsidR="00B23A6C" w:rsidRPr="004126E5" w:rsidRDefault="00F34C4A" w:rsidP="00A21BA3">
            <w:pPr>
              <w:pStyle w:val="BodyText"/>
              <w:rPr>
                <w:rFonts w:cs="Calibri"/>
              </w:rPr>
            </w:pPr>
            <w:proofErr w:type="spellStart"/>
            <w:r>
              <w:rPr>
                <w:rFonts w:cs="Calibri"/>
              </w:rPr>
              <w:t>Swissquote</w:t>
            </w:r>
            <w:proofErr w:type="spellEnd"/>
            <w:r>
              <w:rPr>
                <w:rFonts w:cs="Calibri"/>
              </w:rPr>
              <w:t xml:space="preserve"> MEA Limited</w:t>
            </w:r>
          </w:p>
        </w:tc>
      </w:tr>
      <w:tr w:rsidR="00F57C16" w:rsidRPr="004126E5" w14:paraId="439C8147" w14:textId="77777777" w:rsidTr="00F86DE2">
        <w:tc>
          <w:tcPr>
            <w:tcW w:w="3964" w:type="dxa"/>
          </w:tcPr>
          <w:p w14:paraId="3B0E783C" w14:textId="13DFEBCC" w:rsidR="00F57C16" w:rsidRPr="004126E5" w:rsidRDefault="00F57C16" w:rsidP="00F86DE2">
            <w:pPr>
              <w:pStyle w:val="BodyText"/>
              <w:rPr>
                <w:rFonts w:cs="Calibri"/>
              </w:rPr>
            </w:pPr>
            <w:r>
              <w:rPr>
                <w:rFonts w:cs="Calibri"/>
              </w:rPr>
              <w:t>Professional Client</w:t>
            </w:r>
          </w:p>
        </w:tc>
        <w:tc>
          <w:tcPr>
            <w:tcW w:w="5096" w:type="dxa"/>
          </w:tcPr>
          <w:p w14:paraId="352766B8" w14:textId="418798D2" w:rsidR="00F57C16" w:rsidRPr="004126E5" w:rsidRDefault="00F57C16" w:rsidP="00F86DE2">
            <w:pPr>
              <w:pStyle w:val="BodyText"/>
              <w:rPr>
                <w:rFonts w:cs="Calibri"/>
              </w:rPr>
            </w:pPr>
            <w:r>
              <w:rPr>
                <w:rFonts w:cs="Calibri"/>
              </w:rPr>
              <w:t>As defined in the FSRA Rules</w:t>
            </w:r>
          </w:p>
        </w:tc>
      </w:tr>
      <w:tr w:rsidR="00B847C0" w:rsidRPr="004126E5" w14:paraId="79284C5F" w14:textId="77777777" w:rsidTr="00F86DE2">
        <w:tc>
          <w:tcPr>
            <w:tcW w:w="3964" w:type="dxa"/>
          </w:tcPr>
          <w:p w14:paraId="111F75D1" w14:textId="343578C8" w:rsidR="00B847C0" w:rsidRPr="004126E5" w:rsidRDefault="00B847C0" w:rsidP="00F86DE2">
            <w:pPr>
              <w:pStyle w:val="BodyText"/>
              <w:rPr>
                <w:rFonts w:cs="Calibri"/>
              </w:rPr>
            </w:pPr>
            <w:r>
              <w:rPr>
                <w:rFonts w:cs="Calibri"/>
              </w:rPr>
              <w:t>Prospectus</w:t>
            </w:r>
          </w:p>
        </w:tc>
        <w:tc>
          <w:tcPr>
            <w:tcW w:w="5096" w:type="dxa"/>
          </w:tcPr>
          <w:p w14:paraId="7EF787F9" w14:textId="6D172517" w:rsidR="00B847C0" w:rsidRPr="004126E5" w:rsidRDefault="00B847C0" w:rsidP="00F86DE2">
            <w:pPr>
              <w:pStyle w:val="BodyText"/>
              <w:rPr>
                <w:rFonts w:cs="Calibri"/>
              </w:rPr>
            </w:pPr>
            <w:r>
              <w:rPr>
                <w:rFonts w:cs="Calibri"/>
              </w:rPr>
              <w:t>This prospectus, as amended from time to time</w:t>
            </w:r>
          </w:p>
        </w:tc>
      </w:tr>
      <w:tr w:rsidR="000E6626" w:rsidRPr="004126E5" w14:paraId="6025447F" w14:textId="77777777" w:rsidTr="00F86DE2">
        <w:tc>
          <w:tcPr>
            <w:tcW w:w="3964" w:type="dxa"/>
          </w:tcPr>
          <w:p w14:paraId="4E597508" w14:textId="77777777" w:rsidR="000E6626" w:rsidRPr="004126E5" w:rsidRDefault="000E6626" w:rsidP="000E6626">
            <w:pPr>
              <w:pStyle w:val="BodyText"/>
              <w:rPr>
                <w:rFonts w:cs="Calibri"/>
              </w:rPr>
            </w:pPr>
            <w:r>
              <w:rPr>
                <w:rFonts w:cs="Calibri"/>
              </w:rPr>
              <w:t>Restricted Person</w:t>
            </w:r>
          </w:p>
        </w:tc>
        <w:tc>
          <w:tcPr>
            <w:tcW w:w="5096" w:type="dxa"/>
          </w:tcPr>
          <w:p w14:paraId="58EB90F7" w14:textId="24271F03" w:rsidR="000E6626" w:rsidRPr="004126E5" w:rsidRDefault="000E6626" w:rsidP="000E6626">
            <w:pPr>
              <w:pStyle w:val="BodyText"/>
              <w:rPr>
                <w:rFonts w:cs="Calibri"/>
              </w:rPr>
            </w:pPr>
            <w:r>
              <w:rPr>
                <w:rFonts w:cs="Calibri"/>
              </w:rPr>
              <w:t>As defined in the Part IV of this Prospectus (and more specifically in the Articles)</w:t>
            </w:r>
          </w:p>
        </w:tc>
      </w:tr>
      <w:tr w:rsidR="000E6626" w:rsidRPr="004126E5" w14:paraId="4223B4C9" w14:textId="77777777" w:rsidTr="00F86DE2">
        <w:tc>
          <w:tcPr>
            <w:tcW w:w="3964" w:type="dxa"/>
          </w:tcPr>
          <w:p w14:paraId="07FAF974" w14:textId="5B929E21" w:rsidR="000E6626" w:rsidRPr="004126E5" w:rsidRDefault="000E6626" w:rsidP="000E6626">
            <w:pPr>
              <w:pStyle w:val="BodyText"/>
              <w:rPr>
                <w:rFonts w:cs="Calibri"/>
              </w:rPr>
            </w:pPr>
            <w:r>
              <w:rPr>
                <w:rFonts w:cs="Calibri"/>
              </w:rPr>
              <w:t>Redemption Day</w:t>
            </w:r>
          </w:p>
        </w:tc>
        <w:tc>
          <w:tcPr>
            <w:tcW w:w="5096" w:type="dxa"/>
          </w:tcPr>
          <w:p w14:paraId="424091BC" w14:textId="23DCE240" w:rsidR="000E6626" w:rsidRPr="004126E5" w:rsidRDefault="000E6626" w:rsidP="000E6626">
            <w:pPr>
              <w:pStyle w:val="BodyText"/>
              <w:rPr>
                <w:rFonts w:cs="Calibri"/>
              </w:rPr>
            </w:pPr>
            <w:r w:rsidRPr="00EA43E0">
              <w:rPr>
                <w:rFonts w:cs="Calibri"/>
              </w:rPr>
              <w:t>As defined in the Part IV of this Prospectus (and more specifically in the Articles)</w:t>
            </w:r>
          </w:p>
        </w:tc>
      </w:tr>
      <w:tr w:rsidR="000E6626" w:rsidRPr="004126E5" w14:paraId="3CEC2846" w14:textId="77777777" w:rsidTr="00F86DE2">
        <w:tc>
          <w:tcPr>
            <w:tcW w:w="3964" w:type="dxa"/>
          </w:tcPr>
          <w:p w14:paraId="1CB7FA17" w14:textId="25022CEC" w:rsidR="000E6626" w:rsidRPr="004126E5" w:rsidRDefault="000E6626" w:rsidP="000E6626">
            <w:pPr>
              <w:pStyle w:val="BodyText"/>
              <w:rPr>
                <w:rFonts w:cs="Calibri"/>
              </w:rPr>
            </w:pPr>
            <w:r>
              <w:rPr>
                <w:rFonts w:cs="Calibri"/>
              </w:rPr>
              <w:t>Redemption Notice</w:t>
            </w:r>
          </w:p>
        </w:tc>
        <w:tc>
          <w:tcPr>
            <w:tcW w:w="5096" w:type="dxa"/>
          </w:tcPr>
          <w:p w14:paraId="590200F9" w14:textId="1FA3CA46" w:rsidR="000E6626" w:rsidRPr="004126E5" w:rsidRDefault="000E6626" w:rsidP="000E6626">
            <w:pPr>
              <w:pStyle w:val="BodyText"/>
              <w:rPr>
                <w:rFonts w:cs="Calibri"/>
              </w:rPr>
            </w:pPr>
            <w:r w:rsidRPr="00EA43E0">
              <w:rPr>
                <w:rFonts w:cs="Calibri"/>
              </w:rPr>
              <w:t>As defined in the Part IV of this Prospectus (and more specifically in the Articles)</w:t>
            </w:r>
          </w:p>
        </w:tc>
      </w:tr>
      <w:tr w:rsidR="000E6626" w:rsidRPr="004126E5" w14:paraId="0E764E15" w14:textId="77777777" w:rsidTr="00F86DE2">
        <w:tc>
          <w:tcPr>
            <w:tcW w:w="3964" w:type="dxa"/>
          </w:tcPr>
          <w:p w14:paraId="69C94546" w14:textId="77777777" w:rsidR="000E6626" w:rsidRPr="004126E5" w:rsidRDefault="000E6626" w:rsidP="000E6626">
            <w:pPr>
              <w:pStyle w:val="BodyText"/>
              <w:rPr>
                <w:rFonts w:cs="Calibri"/>
              </w:rPr>
            </w:pPr>
            <w:r>
              <w:rPr>
                <w:rFonts w:cs="Calibri"/>
              </w:rPr>
              <w:t>Redemption Price</w:t>
            </w:r>
          </w:p>
        </w:tc>
        <w:tc>
          <w:tcPr>
            <w:tcW w:w="5096" w:type="dxa"/>
          </w:tcPr>
          <w:p w14:paraId="69737C59" w14:textId="5D831F6F" w:rsidR="000E6626" w:rsidRPr="004126E5" w:rsidRDefault="000E6626" w:rsidP="000E6626">
            <w:pPr>
              <w:pStyle w:val="BodyText"/>
              <w:rPr>
                <w:rFonts w:cs="Calibri"/>
              </w:rPr>
            </w:pPr>
            <w:r w:rsidRPr="00EA43E0">
              <w:rPr>
                <w:rFonts w:cs="Calibri"/>
              </w:rPr>
              <w:t>As defined in the Part IV of this Prospectus (and more specifically in the Articles)</w:t>
            </w:r>
          </w:p>
        </w:tc>
      </w:tr>
      <w:tr w:rsidR="000E6626" w:rsidRPr="004126E5" w14:paraId="399EE857" w14:textId="77777777" w:rsidTr="00F86DE2">
        <w:tc>
          <w:tcPr>
            <w:tcW w:w="3964" w:type="dxa"/>
          </w:tcPr>
          <w:p w14:paraId="587E4BE8" w14:textId="24D3872B" w:rsidR="000E6626" w:rsidRPr="004126E5" w:rsidRDefault="000E6626" w:rsidP="000E6626">
            <w:pPr>
              <w:pStyle w:val="BodyText"/>
              <w:rPr>
                <w:rFonts w:cs="Calibri"/>
              </w:rPr>
            </w:pPr>
            <w:r>
              <w:rPr>
                <w:rFonts w:cs="Calibri"/>
              </w:rPr>
              <w:t>Redemption Spread Factor</w:t>
            </w:r>
          </w:p>
        </w:tc>
        <w:tc>
          <w:tcPr>
            <w:tcW w:w="5096" w:type="dxa"/>
          </w:tcPr>
          <w:p w14:paraId="0032D841" w14:textId="333D9AF2" w:rsidR="000E6626" w:rsidRPr="004126E5" w:rsidRDefault="000E6626" w:rsidP="000E6626">
            <w:pPr>
              <w:pStyle w:val="BodyText"/>
              <w:rPr>
                <w:rFonts w:cs="Calibri"/>
              </w:rPr>
            </w:pPr>
            <w:r w:rsidRPr="00EA43E0">
              <w:rPr>
                <w:rFonts w:cs="Calibri"/>
              </w:rPr>
              <w:t>As defined in the Part IV of this Prospectus (and more specifically in the Articles)</w:t>
            </w:r>
          </w:p>
        </w:tc>
      </w:tr>
      <w:tr w:rsidR="000B5517" w:rsidRPr="004126E5" w14:paraId="7885E0E1" w14:textId="77777777" w:rsidTr="00F86DE2">
        <w:tc>
          <w:tcPr>
            <w:tcW w:w="3964" w:type="dxa"/>
          </w:tcPr>
          <w:p w14:paraId="7F2F5554" w14:textId="5C06BB2D" w:rsidR="000B5517" w:rsidRPr="004126E5" w:rsidRDefault="000B5517" w:rsidP="00F86DE2">
            <w:pPr>
              <w:pStyle w:val="BodyText"/>
              <w:rPr>
                <w:rFonts w:cs="Calibri"/>
              </w:rPr>
            </w:pPr>
            <w:r>
              <w:rPr>
                <w:rFonts w:cs="Calibri"/>
              </w:rPr>
              <w:t>Requirements</w:t>
            </w:r>
          </w:p>
        </w:tc>
        <w:tc>
          <w:tcPr>
            <w:tcW w:w="5096" w:type="dxa"/>
          </w:tcPr>
          <w:p w14:paraId="55E976F8" w14:textId="781F95B9" w:rsidR="000B5517" w:rsidRPr="004126E5" w:rsidRDefault="000B5517" w:rsidP="00F86DE2">
            <w:pPr>
              <w:pStyle w:val="BodyText"/>
              <w:rPr>
                <w:rFonts w:cs="Calibri"/>
              </w:rPr>
            </w:pPr>
            <w:r>
              <w:rPr>
                <w:rFonts w:cs="Calibri"/>
              </w:rPr>
              <w:t>Has the meaning given in section 5.11 of Part VII of this Prospectus</w:t>
            </w:r>
          </w:p>
        </w:tc>
      </w:tr>
      <w:tr w:rsidR="00C54A74" w:rsidRPr="004126E5" w14:paraId="61572280" w14:textId="77777777" w:rsidTr="00F86DE2">
        <w:tc>
          <w:tcPr>
            <w:tcW w:w="3964" w:type="dxa"/>
          </w:tcPr>
          <w:p w14:paraId="2F67B69B" w14:textId="12DD5537" w:rsidR="00C54A74" w:rsidRPr="004126E5" w:rsidRDefault="00C54A74" w:rsidP="00F86DE2">
            <w:pPr>
              <w:pStyle w:val="BodyText"/>
              <w:rPr>
                <w:rFonts w:cs="Calibri"/>
              </w:rPr>
            </w:pPr>
            <w:r>
              <w:rPr>
                <w:rFonts w:cs="Calibri"/>
              </w:rPr>
              <w:t>Shares</w:t>
            </w:r>
          </w:p>
        </w:tc>
        <w:tc>
          <w:tcPr>
            <w:tcW w:w="5096" w:type="dxa"/>
          </w:tcPr>
          <w:p w14:paraId="38D5136E" w14:textId="77DB47CC" w:rsidR="00C54A74" w:rsidRPr="004126E5" w:rsidRDefault="00C54A74" w:rsidP="00F86DE2">
            <w:pPr>
              <w:pStyle w:val="BodyText"/>
              <w:rPr>
                <w:rFonts w:cs="Calibri"/>
              </w:rPr>
            </w:pPr>
            <w:r>
              <w:rPr>
                <w:rFonts w:cs="Calibri"/>
              </w:rPr>
              <w:t>Has the meaning given in section 2.1 of Part V of this Prospectus</w:t>
            </w:r>
          </w:p>
        </w:tc>
      </w:tr>
      <w:tr w:rsidR="000B5517" w:rsidRPr="004126E5" w14:paraId="3338359E" w14:textId="77777777" w:rsidTr="00F86DE2">
        <w:tc>
          <w:tcPr>
            <w:tcW w:w="3964" w:type="dxa"/>
          </w:tcPr>
          <w:p w14:paraId="1404D86C" w14:textId="48AEB0E1" w:rsidR="000B5517" w:rsidRPr="004126E5" w:rsidRDefault="000B5517" w:rsidP="00F86DE2">
            <w:pPr>
              <w:pStyle w:val="BodyText"/>
              <w:rPr>
                <w:rFonts w:cs="Calibri"/>
              </w:rPr>
            </w:pPr>
            <w:r>
              <w:rPr>
                <w:rFonts w:cs="Calibri"/>
              </w:rPr>
              <w:t>Side Letters</w:t>
            </w:r>
          </w:p>
        </w:tc>
        <w:tc>
          <w:tcPr>
            <w:tcW w:w="5096" w:type="dxa"/>
          </w:tcPr>
          <w:p w14:paraId="18EF6667" w14:textId="3DABDC70" w:rsidR="000B5517" w:rsidRPr="004126E5" w:rsidRDefault="000B5517" w:rsidP="00F86DE2">
            <w:pPr>
              <w:pStyle w:val="BodyText"/>
              <w:rPr>
                <w:rFonts w:cs="Calibri"/>
              </w:rPr>
            </w:pPr>
            <w:r>
              <w:rPr>
                <w:rFonts w:cs="Calibri"/>
              </w:rPr>
              <w:t>Has the meaning given in section 1.7 of Part VII of this Prospectus</w:t>
            </w:r>
          </w:p>
        </w:tc>
      </w:tr>
      <w:tr w:rsidR="000E6626" w:rsidRPr="004126E5" w14:paraId="3CD7BA19" w14:textId="77777777" w:rsidTr="00F86DE2">
        <w:tc>
          <w:tcPr>
            <w:tcW w:w="3964" w:type="dxa"/>
          </w:tcPr>
          <w:p w14:paraId="56331168" w14:textId="1592A07C" w:rsidR="000E6626" w:rsidRPr="004126E5" w:rsidRDefault="000E6626" w:rsidP="000E6626">
            <w:pPr>
              <w:pStyle w:val="BodyText"/>
              <w:rPr>
                <w:rFonts w:cs="Calibri"/>
              </w:rPr>
            </w:pPr>
            <w:r>
              <w:rPr>
                <w:rFonts w:cs="Calibri"/>
              </w:rPr>
              <w:lastRenderedPageBreak/>
              <w:t>Subscription Day</w:t>
            </w:r>
          </w:p>
        </w:tc>
        <w:tc>
          <w:tcPr>
            <w:tcW w:w="5096" w:type="dxa"/>
          </w:tcPr>
          <w:p w14:paraId="002F979B" w14:textId="00D546FB" w:rsidR="000E6626" w:rsidRPr="004126E5" w:rsidRDefault="000E6626" w:rsidP="000E6626">
            <w:pPr>
              <w:pStyle w:val="BodyText"/>
              <w:rPr>
                <w:rFonts w:cs="Calibri"/>
              </w:rPr>
            </w:pPr>
            <w:r w:rsidRPr="0073559E">
              <w:rPr>
                <w:rFonts w:cs="Calibri"/>
              </w:rPr>
              <w:t>As defined in the Part IV of this Prospectus (and more specifically in the Articles)</w:t>
            </w:r>
          </w:p>
        </w:tc>
      </w:tr>
      <w:tr w:rsidR="000E6626" w:rsidRPr="004126E5" w14:paraId="171F2870" w14:textId="77777777" w:rsidTr="00F86DE2">
        <w:tc>
          <w:tcPr>
            <w:tcW w:w="3964" w:type="dxa"/>
          </w:tcPr>
          <w:p w14:paraId="765C9F0D" w14:textId="6ED9123D" w:rsidR="000E6626" w:rsidRPr="004126E5" w:rsidRDefault="000E6626" w:rsidP="000E6626">
            <w:pPr>
              <w:pStyle w:val="BodyText"/>
              <w:rPr>
                <w:rFonts w:cs="Calibri"/>
              </w:rPr>
            </w:pPr>
            <w:r>
              <w:rPr>
                <w:rFonts w:cs="Calibri"/>
              </w:rPr>
              <w:t>Subscription Price</w:t>
            </w:r>
          </w:p>
        </w:tc>
        <w:tc>
          <w:tcPr>
            <w:tcW w:w="5096" w:type="dxa"/>
          </w:tcPr>
          <w:p w14:paraId="5A4EABBC" w14:textId="49F0B0C2" w:rsidR="000E6626" w:rsidRPr="004126E5" w:rsidRDefault="000E6626" w:rsidP="000E6626">
            <w:pPr>
              <w:pStyle w:val="BodyText"/>
              <w:rPr>
                <w:rFonts w:cs="Calibri"/>
              </w:rPr>
            </w:pPr>
            <w:r w:rsidRPr="0073559E">
              <w:rPr>
                <w:rFonts w:cs="Calibri"/>
              </w:rPr>
              <w:t>As defined in the Part IV of this Prospectus (and more specifically in the Articles)</w:t>
            </w:r>
          </w:p>
        </w:tc>
      </w:tr>
      <w:tr w:rsidR="00E7425A" w:rsidRPr="004126E5" w14:paraId="6CCEB108" w14:textId="77777777" w:rsidTr="00F86DE2">
        <w:tc>
          <w:tcPr>
            <w:tcW w:w="3964" w:type="dxa"/>
          </w:tcPr>
          <w:p w14:paraId="43D74F13" w14:textId="6D72FBE7" w:rsidR="00E7425A" w:rsidRPr="004126E5" w:rsidRDefault="00E7425A" w:rsidP="00F86DE2">
            <w:pPr>
              <w:pStyle w:val="BodyText"/>
              <w:rPr>
                <w:rFonts w:cs="Calibri"/>
              </w:rPr>
            </w:pPr>
            <w:r>
              <w:rPr>
                <w:rFonts w:cs="Calibri"/>
              </w:rPr>
              <w:t>Technical Advisor</w:t>
            </w:r>
          </w:p>
        </w:tc>
        <w:tc>
          <w:tcPr>
            <w:tcW w:w="5096" w:type="dxa"/>
          </w:tcPr>
          <w:p w14:paraId="36015961" w14:textId="26073BDC" w:rsidR="00E7425A" w:rsidRPr="004126E5" w:rsidRDefault="00E7425A" w:rsidP="00F86DE2">
            <w:pPr>
              <w:pStyle w:val="BodyText"/>
              <w:rPr>
                <w:rFonts w:cs="Calibri"/>
              </w:rPr>
            </w:pPr>
            <w:proofErr w:type="spellStart"/>
            <w:r>
              <w:rPr>
                <w:rFonts w:cs="Calibri"/>
              </w:rPr>
              <w:t>Nakama</w:t>
            </w:r>
            <w:proofErr w:type="spellEnd"/>
            <w:r>
              <w:rPr>
                <w:rFonts w:cs="Calibri"/>
              </w:rPr>
              <w:t xml:space="preserve"> Limited</w:t>
            </w:r>
          </w:p>
        </w:tc>
      </w:tr>
      <w:tr w:rsidR="006D4C23" w:rsidRPr="004126E5" w14:paraId="2CC4396B" w14:textId="77777777" w:rsidTr="00F86DE2">
        <w:tc>
          <w:tcPr>
            <w:tcW w:w="3964" w:type="dxa"/>
          </w:tcPr>
          <w:p w14:paraId="74BE542B" w14:textId="2B5018F2" w:rsidR="006D4C23" w:rsidRPr="004126E5" w:rsidRDefault="006D4C23" w:rsidP="00F86DE2">
            <w:pPr>
              <w:pStyle w:val="BodyText"/>
              <w:rPr>
                <w:rFonts w:cs="Calibri"/>
              </w:rPr>
            </w:pPr>
            <w:r>
              <w:rPr>
                <w:rFonts w:cs="Calibri"/>
              </w:rPr>
              <w:t xml:space="preserve">Technical </w:t>
            </w:r>
            <w:r w:rsidR="00C54A74">
              <w:rPr>
                <w:rFonts w:cs="Calibri"/>
              </w:rPr>
              <w:t>Services</w:t>
            </w:r>
            <w:r>
              <w:rPr>
                <w:rFonts w:cs="Calibri"/>
              </w:rPr>
              <w:t xml:space="preserve"> Agreement</w:t>
            </w:r>
          </w:p>
        </w:tc>
        <w:tc>
          <w:tcPr>
            <w:tcW w:w="5096" w:type="dxa"/>
          </w:tcPr>
          <w:p w14:paraId="44AFF12E" w14:textId="3AD9D288" w:rsidR="006D4C23" w:rsidRPr="004126E5" w:rsidRDefault="006D4C23" w:rsidP="00F86DE2">
            <w:pPr>
              <w:pStyle w:val="BodyText"/>
              <w:rPr>
                <w:rFonts w:cs="Calibri"/>
              </w:rPr>
            </w:pPr>
            <w:r>
              <w:rPr>
                <w:rFonts w:cs="Calibri"/>
              </w:rPr>
              <w:t xml:space="preserve">Technical services agreement between the Technical Advisor and the </w:t>
            </w:r>
            <w:proofErr w:type="spellStart"/>
            <w:r>
              <w:rPr>
                <w:rFonts w:cs="Calibri"/>
              </w:rPr>
              <w:t>Tokenisor</w:t>
            </w:r>
            <w:proofErr w:type="spellEnd"/>
          </w:p>
        </w:tc>
      </w:tr>
      <w:tr w:rsidR="000E6626" w:rsidRPr="004126E5" w14:paraId="32F9E978" w14:textId="77777777" w:rsidTr="00F86DE2">
        <w:tc>
          <w:tcPr>
            <w:tcW w:w="3964" w:type="dxa"/>
          </w:tcPr>
          <w:p w14:paraId="48920F26" w14:textId="1B6C8A19" w:rsidR="000E6626" w:rsidRPr="004126E5" w:rsidRDefault="000E6626" w:rsidP="00F86DE2">
            <w:pPr>
              <w:pStyle w:val="BodyText"/>
              <w:rPr>
                <w:rFonts w:cs="Calibri"/>
              </w:rPr>
            </w:pPr>
            <w:r>
              <w:rPr>
                <w:rFonts w:cs="Calibri"/>
              </w:rPr>
              <w:t>Termination ate</w:t>
            </w:r>
          </w:p>
        </w:tc>
        <w:tc>
          <w:tcPr>
            <w:tcW w:w="5096" w:type="dxa"/>
          </w:tcPr>
          <w:p w14:paraId="265C035E" w14:textId="77777777" w:rsidR="000E6626" w:rsidRPr="004126E5" w:rsidRDefault="000E6626" w:rsidP="00F86DE2">
            <w:pPr>
              <w:pStyle w:val="BodyText"/>
              <w:rPr>
                <w:rFonts w:cs="Calibri"/>
              </w:rPr>
            </w:pPr>
            <w:r>
              <w:rPr>
                <w:rFonts w:cs="Calibri"/>
              </w:rPr>
              <w:t>As defined in the Part IV of this Prospectus (and more specifically in the Articles)</w:t>
            </w:r>
          </w:p>
        </w:tc>
      </w:tr>
      <w:tr w:rsidR="000E6626" w:rsidRPr="004126E5" w14:paraId="6FDD8FEA" w14:textId="77777777" w:rsidTr="00F86DE2">
        <w:tc>
          <w:tcPr>
            <w:tcW w:w="3964" w:type="dxa"/>
          </w:tcPr>
          <w:p w14:paraId="61F541A1" w14:textId="7D23C32B" w:rsidR="000E6626" w:rsidRPr="004126E5" w:rsidRDefault="000E6626" w:rsidP="00F86DE2">
            <w:pPr>
              <w:pStyle w:val="BodyText"/>
              <w:rPr>
                <w:rFonts w:cs="Calibri"/>
              </w:rPr>
            </w:pPr>
            <w:r>
              <w:rPr>
                <w:rFonts w:cs="Calibri"/>
              </w:rPr>
              <w:t>Termination Event</w:t>
            </w:r>
          </w:p>
        </w:tc>
        <w:tc>
          <w:tcPr>
            <w:tcW w:w="5096" w:type="dxa"/>
          </w:tcPr>
          <w:p w14:paraId="18E3A27F" w14:textId="425B702A" w:rsidR="000E6626" w:rsidRPr="004126E5" w:rsidRDefault="000E6626" w:rsidP="00F86DE2">
            <w:pPr>
              <w:pStyle w:val="BodyText"/>
              <w:rPr>
                <w:rFonts w:cs="Calibri"/>
              </w:rPr>
            </w:pPr>
            <w:r>
              <w:rPr>
                <w:rFonts w:cs="Calibri"/>
              </w:rPr>
              <w:t>As defined in the Part IV of this Prospectus (and more specifically in the Articles)</w:t>
            </w:r>
          </w:p>
        </w:tc>
      </w:tr>
      <w:tr w:rsidR="000E6626" w:rsidRPr="004126E5" w14:paraId="35B042E6" w14:textId="77777777" w:rsidTr="00F86DE2">
        <w:tc>
          <w:tcPr>
            <w:tcW w:w="3964" w:type="dxa"/>
          </w:tcPr>
          <w:p w14:paraId="2DFAAF75" w14:textId="76A339EB" w:rsidR="000E6626" w:rsidRPr="004126E5" w:rsidRDefault="000E6626" w:rsidP="00F86DE2">
            <w:pPr>
              <w:pStyle w:val="BodyText"/>
              <w:rPr>
                <w:rFonts w:cs="Calibri"/>
              </w:rPr>
            </w:pPr>
            <w:r>
              <w:rPr>
                <w:rFonts w:cs="Calibri"/>
              </w:rPr>
              <w:t>Termination Notice</w:t>
            </w:r>
          </w:p>
        </w:tc>
        <w:tc>
          <w:tcPr>
            <w:tcW w:w="5096" w:type="dxa"/>
          </w:tcPr>
          <w:p w14:paraId="0529F532" w14:textId="77777777" w:rsidR="000E6626" w:rsidRPr="004126E5" w:rsidRDefault="000E6626" w:rsidP="00F86DE2">
            <w:pPr>
              <w:pStyle w:val="BodyText"/>
              <w:rPr>
                <w:rFonts w:cs="Calibri"/>
              </w:rPr>
            </w:pPr>
            <w:r>
              <w:rPr>
                <w:rFonts w:cs="Calibri"/>
              </w:rPr>
              <w:t>As defined in the Part IV of this Prospectus (and more specifically in the Articles)</w:t>
            </w:r>
          </w:p>
        </w:tc>
      </w:tr>
      <w:tr w:rsidR="00B23A6C" w:rsidRPr="004126E5" w14:paraId="568196F5" w14:textId="77777777" w:rsidTr="00205917">
        <w:tc>
          <w:tcPr>
            <w:tcW w:w="3964" w:type="dxa"/>
          </w:tcPr>
          <w:p w14:paraId="14446643" w14:textId="1AAADB1A" w:rsidR="00B23A6C" w:rsidRPr="004126E5" w:rsidRDefault="00301F05" w:rsidP="00A21BA3">
            <w:pPr>
              <w:pStyle w:val="BodyText"/>
              <w:rPr>
                <w:rFonts w:cs="Calibri"/>
              </w:rPr>
            </w:pPr>
            <w:proofErr w:type="spellStart"/>
            <w:r>
              <w:rPr>
                <w:rFonts w:cs="Calibri"/>
              </w:rPr>
              <w:t>Tokenis</w:t>
            </w:r>
            <w:r w:rsidR="002A499D">
              <w:rPr>
                <w:rFonts w:cs="Calibri"/>
              </w:rPr>
              <w:t>o</w:t>
            </w:r>
            <w:r>
              <w:rPr>
                <w:rFonts w:cs="Calibri"/>
              </w:rPr>
              <w:t>r</w:t>
            </w:r>
            <w:proofErr w:type="spellEnd"/>
          </w:p>
        </w:tc>
        <w:tc>
          <w:tcPr>
            <w:tcW w:w="5096" w:type="dxa"/>
          </w:tcPr>
          <w:p w14:paraId="1F13D290" w14:textId="7D06EB29" w:rsidR="00B23A6C" w:rsidRPr="004126E5" w:rsidRDefault="00301F05" w:rsidP="00A21BA3">
            <w:pPr>
              <w:pStyle w:val="BodyText"/>
              <w:rPr>
                <w:rFonts w:cs="Calibri"/>
              </w:rPr>
            </w:pPr>
            <w:r>
              <w:rPr>
                <w:color w:val="000000"/>
              </w:rPr>
              <w:t xml:space="preserve">Realize </w:t>
            </w:r>
            <w:r>
              <w:t>Technology Solutions Limited</w:t>
            </w:r>
          </w:p>
        </w:tc>
      </w:tr>
      <w:tr w:rsidR="00E7425A" w:rsidRPr="004126E5" w14:paraId="4D049120" w14:textId="77777777" w:rsidTr="00205917">
        <w:tc>
          <w:tcPr>
            <w:tcW w:w="3964" w:type="dxa"/>
          </w:tcPr>
          <w:p w14:paraId="7580CBFB" w14:textId="73448612" w:rsidR="00E7425A" w:rsidRDefault="0060430F" w:rsidP="00A21BA3">
            <w:pPr>
              <w:pStyle w:val="BodyText"/>
              <w:rPr>
                <w:rFonts w:cs="Calibri"/>
              </w:rPr>
            </w:pPr>
            <w:r>
              <w:rPr>
                <w:rFonts w:cs="Calibri"/>
              </w:rPr>
              <w:t>Token Holder</w:t>
            </w:r>
          </w:p>
        </w:tc>
        <w:tc>
          <w:tcPr>
            <w:tcW w:w="5096" w:type="dxa"/>
          </w:tcPr>
          <w:p w14:paraId="691E5DE2" w14:textId="14EE628B" w:rsidR="00E7425A" w:rsidRDefault="0060430F" w:rsidP="00A21BA3">
            <w:pPr>
              <w:pStyle w:val="BodyText"/>
              <w:rPr>
                <w:color w:val="000000"/>
              </w:rPr>
            </w:pPr>
            <w:r>
              <w:rPr>
                <w:color w:val="000000"/>
              </w:rPr>
              <w:t>A person holding Tokens</w:t>
            </w:r>
          </w:p>
        </w:tc>
      </w:tr>
      <w:tr w:rsidR="00E7425A" w:rsidRPr="004126E5" w14:paraId="644EC3E8" w14:textId="77777777" w:rsidTr="00205917">
        <w:tc>
          <w:tcPr>
            <w:tcW w:w="3964" w:type="dxa"/>
          </w:tcPr>
          <w:p w14:paraId="3706B41B" w14:textId="20ED4998" w:rsidR="00E7425A" w:rsidRDefault="00E7425A" w:rsidP="00A21BA3">
            <w:pPr>
              <w:pStyle w:val="BodyText"/>
              <w:rPr>
                <w:rFonts w:cs="Calibri"/>
              </w:rPr>
            </w:pPr>
            <w:r>
              <w:rPr>
                <w:rFonts w:cs="Calibri"/>
              </w:rPr>
              <w:t>Tokens</w:t>
            </w:r>
          </w:p>
        </w:tc>
        <w:tc>
          <w:tcPr>
            <w:tcW w:w="5096" w:type="dxa"/>
          </w:tcPr>
          <w:p w14:paraId="17384228" w14:textId="22D066F4" w:rsidR="00E7425A" w:rsidRDefault="00D85975" w:rsidP="00A21BA3">
            <w:pPr>
              <w:pStyle w:val="BodyText"/>
              <w:rPr>
                <w:color w:val="000000"/>
              </w:rPr>
            </w:pPr>
            <w:r>
              <w:rPr>
                <w:color w:val="000000"/>
              </w:rPr>
              <w:t xml:space="preserve">The tokens being issued by the Fund to prospective investors representing a digitalised "Unit" in the Fund and affording the holder </w:t>
            </w:r>
            <w:r w:rsidRPr="00831CCB">
              <w:rPr>
                <w:rFonts w:cs="Calibri"/>
                <w:color w:val="000000"/>
                <w:szCs w:val="22"/>
              </w:rPr>
              <w:t>a proportionate share in the assets of the Fund</w:t>
            </w:r>
            <w:r>
              <w:rPr>
                <w:rFonts w:cs="Calibri"/>
                <w:color w:val="000000"/>
                <w:szCs w:val="22"/>
              </w:rPr>
              <w:t xml:space="preserve"> and rights as a unitholder (or token holder) in the Fund in accordance with the Articles</w:t>
            </w:r>
          </w:p>
        </w:tc>
      </w:tr>
      <w:tr w:rsidR="00E7425A" w:rsidRPr="004126E5" w14:paraId="116E66C6" w14:textId="77777777" w:rsidTr="00205917">
        <w:tc>
          <w:tcPr>
            <w:tcW w:w="3964" w:type="dxa"/>
          </w:tcPr>
          <w:p w14:paraId="51BBD28F" w14:textId="1D9B0B03" w:rsidR="00E7425A" w:rsidRDefault="00E7425A" w:rsidP="00A21BA3">
            <w:pPr>
              <w:pStyle w:val="BodyText"/>
              <w:rPr>
                <w:rFonts w:cs="Calibri"/>
              </w:rPr>
            </w:pPr>
            <w:r>
              <w:rPr>
                <w:rFonts w:cs="Calibri"/>
              </w:rPr>
              <w:t>UAE</w:t>
            </w:r>
          </w:p>
        </w:tc>
        <w:tc>
          <w:tcPr>
            <w:tcW w:w="5096" w:type="dxa"/>
          </w:tcPr>
          <w:p w14:paraId="2D899037" w14:textId="48D3C663" w:rsidR="00E7425A" w:rsidRDefault="00E7425A" w:rsidP="00A21BA3">
            <w:pPr>
              <w:pStyle w:val="BodyText"/>
              <w:rPr>
                <w:color w:val="000000"/>
              </w:rPr>
            </w:pPr>
            <w:r>
              <w:rPr>
                <w:color w:val="000000"/>
              </w:rPr>
              <w:t>United Arab Emirates</w:t>
            </w:r>
          </w:p>
        </w:tc>
      </w:tr>
      <w:tr w:rsidR="000B5517" w:rsidRPr="004126E5" w14:paraId="69007CC0" w14:textId="77777777" w:rsidTr="00F86DE2">
        <w:tc>
          <w:tcPr>
            <w:tcW w:w="3964" w:type="dxa"/>
          </w:tcPr>
          <w:p w14:paraId="1DEC75BC" w14:textId="630310B5" w:rsidR="000B5517" w:rsidRPr="004126E5" w:rsidRDefault="000B5517" w:rsidP="00F86DE2">
            <w:pPr>
              <w:pStyle w:val="BodyText"/>
              <w:rPr>
                <w:rFonts w:cs="Calibri"/>
              </w:rPr>
            </w:pPr>
            <w:r>
              <w:rPr>
                <w:rFonts w:cs="Calibri"/>
              </w:rPr>
              <w:t>UN List</w:t>
            </w:r>
          </w:p>
        </w:tc>
        <w:tc>
          <w:tcPr>
            <w:tcW w:w="5096" w:type="dxa"/>
          </w:tcPr>
          <w:p w14:paraId="136D73CF" w14:textId="16922202" w:rsidR="000B5517" w:rsidRPr="004126E5" w:rsidRDefault="000B5517" w:rsidP="00F86DE2">
            <w:pPr>
              <w:pStyle w:val="BodyText"/>
              <w:rPr>
                <w:rFonts w:cs="Calibri"/>
              </w:rPr>
            </w:pPr>
            <w:r>
              <w:rPr>
                <w:rFonts w:cs="Calibri"/>
              </w:rPr>
              <w:t>Has the meaning given in section 5.8 of Part VII of this Prospectus</w:t>
            </w:r>
          </w:p>
        </w:tc>
      </w:tr>
      <w:tr w:rsidR="000B5517" w:rsidRPr="004126E5" w14:paraId="22763B99" w14:textId="77777777" w:rsidTr="00F86DE2">
        <w:tc>
          <w:tcPr>
            <w:tcW w:w="3964" w:type="dxa"/>
          </w:tcPr>
          <w:p w14:paraId="5E0FC53A" w14:textId="374633AC" w:rsidR="000B5517" w:rsidRPr="004126E5" w:rsidRDefault="000B5517" w:rsidP="00F86DE2">
            <w:pPr>
              <w:pStyle w:val="BodyText"/>
              <w:rPr>
                <w:rFonts w:cs="Calibri"/>
              </w:rPr>
            </w:pPr>
            <w:r>
              <w:rPr>
                <w:rFonts w:cs="Calibri"/>
              </w:rPr>
              <w:t>US IGA</w:t>
            </w:r>
          </w:p>
        </w:tc>
        <w:tc>
          <w:tcPr>
            <w:tcW w:w="5096" w:type="dxa"/>
          </w:tcPr>
          <w:p w14:paraId="1E0E378F" w14:textId="2DE11A8C" w:rsidR="000B5517" w:rsidRPr="004126E5" w:rsidRDefault="000B5517" w:rsidP="00F86DE2">
            <w:pPr>
              <w:pStyle w:val="BodyText"/>
              <w:rPr>
                <w:rFonts w:cs="Calibri"/>
              </w:rPr>
            </w:pPr>
            <w:r>
              <w:rPr>
                <w:rFonts w:cs="Calibri"/>
              </w:rPr>
              <w:t>Has the meaning given in section 7.2 of Part VII of this Prospectus</w:t>
            </w:r>
          </w:p>
        </w:tc>
      </w:tr>
      <w:tr w:rsidR="00463D8F" w:rsidRPr="004126E5" w14:paraId="15574D13" w14:textId="77777777" w:rsidTr="00F86DE2">
        <w:tc>
          <w:tcPr>
            <w:tcW w:w="3964" w:type="dxa"/>
          </w:tcPr>
          <w:p w14:paraId="4954F1FB" w14:textId="52E8492E" w:rsidR="00463D8F" w:rsidRPr="004126E5" w:rsidRDefault="00463D8F" w:rsidP="00F86DE2">
            <w:pPr>
              <w:pStyle w:val="BodyText"/>
              <w:rPr>
                <w:rFonts w:cs="Calibri"/>
              </w:rPr>
            </w:pPr>
            <w:r>
              <w:rPr>
                <w:rFonts w:cs="Calibri"/>
              </w:rPr>
              <w:t>Valuation Day</w:t>
            </w:r>
          </w:p>
        </w:tc>
        <w:tc>
          <w:tcPr>
            <w:tcW w:w="5096" w:type="dxa"/>
          </w:tcPr>
          <w:p w14:paraId="5AD415DB" w14:textId="75905FA5" w:rsidR="00463D8F" w:rsidRPr="004126E5" w:rsidRDefault="000E6626" w:rsidP="00F86DE2">
            <w:pPr>
              <w:pStyle w:val="BodyText"/>
              <w:rPr>
                <w:rFonts w:cs="Calibri"/>
              </w:rPr>
            </w:pPr>
            <w:r>
              <w:rPr>
                <w:rFonts w:cs="Calibri"/>
              </w:rPr>
              <w:t>As defined in the Part IV of this Prospectus (and more specifically in the Articles)</w:t>
            </w:r>
          </w:p>
        </w:tc>
      </w:tr>
    </w:tbl>
    <w:p w14:paraId="79D52104" w14:textId="006097EF" w:rsidR="00B23A6C" w:rsidRPr="004126E5" w:rsidRDefault="00B23A6C" w:rsidP="00B23A6C">
      <w:pPr>
        <w:pStyle w:val="BodyText"/>
        <w:rPr>
          <w:rFonts w:cs="Calibri"/>
        </w:rPr>
      </w:pPr>
      <w:r w:rsidRPr="004126E5">
        <w:rPr>
          <w:rFonts w:cs="Calibri"/>
        </w:rPr>
        <w:br w:type="page"/>
      </w:r>
    </w:p>
    <w:p w14:paraId="21D448B0" w14:textId="73E97380" w:rsidR="00B23A6C" w:rsidRDefault="00BD3A56" w:rsidP="00B23A6C">
      <w:pPr>
        <w:pStyle w:val="Appendix"/>
        <w:rPr>
          <w:rFonts w:cs="Calibri"/>
        </w:rPr>
      </w:pPr>
      <w:r w:rsidRPr="004126E5">
        <w:rPr>
          <w:rFonts w:cs="Calibri"/>
        </w:rPr>
        <w:lastRenderedPageBreak/>
        <w:t xml:space="preserve"> </w:t>
      </w:r>
      <w:bookmarkStart w:id="35" w:name="_Toc166755352"/>
      <w:bookmarkStart w:id="36" w:name="_Toc166756607"/>
      <w:bookmarkStart w:id="37" w:name="_Toc166756693"/>
      <w:bookmarkStart w:id="38" w:name="_Toc166757622"/>
      <w:bookmarkStart w:id="39" w:name="_Toc166760206"/>
      <w:bookmarkStart w:id="40" w:name="_Ref166760318"/>
      <w:bookmarkStart w:id="41" w:name="_Toc169612965"/>
      <w:r w:rsidR="00B23A6C" w:rsidRPr="004126E5">
        <w:rPr>
          <w:rFonts w:cs="Calibri"/>
        </w:rPr>
        <w:t xml:space="preserve">- </w:t>
      </w:r>
      <w:r w:rsidRPr="004126E5">
        <w:rPr>
          <w:rFonts w:cs="Calibri"/>
        </w:rPr>
        <w:t>Offering Restrictions in Certain Jurisdictions</w:t>
      </w:r>
      <w:bookmarkEnd w:id="35"/>
      <w:bookmarkEnd w:id="36"/>
      <w:bookmarkEnd w:id="37"/>
      <w:bookmarkEnd w:id="38"/>
      <w:bookmarkEnd w:id="39"/>
      <w:bookmarkEnd w:id="40"/>
      <w:bookmarkEnd w:id="41"/>
    </w:p>
    <w:p w14:paraId="13CDDCA4" w14:textId="77777777" w:rsidR="00274F95" w:rsidRDefault="00274F95" w:rsidP="00274F95">
      <w:pPr>
        <w:pStyle w:val="AppendixSub"/>
      </w:pPr>
    </w:p>
    <w:p w14:paraId="4BC3720C" w14:textId="77777777" w:rsidR="00B23A6C" w:rsidRPr="002960A3" w:rsidRDefault="00B23A6C" w:rsidP="00B23A6C">
      <w:pPr>
        <w:pStyle w:val="BodyText"/>
        <w:rPr>
          <w:rFonts w:cs="Calibri"/>
          <w:b/>
          <w:bCs/>
          <w:szCs w:val="22"/>
        </w:rPr>
      </w:pPr>
      <w:r w:rsidRPr="002960A3">
        <w:rPr>
          <w:rFonts w:cs="Calibri"/>
          <w:b/>
          <w:bCs/>
          <w:szCs w:val="22"/>
        </w:rPr>
        <w:t>NOTICE FOR PROSPECTIVE INVESTORS OF THE UAE</w:t>
      </w:r>
    </w:p>
    <w:p w14:paraId="4F2E39F7" w14:textId="54C120F3" w:rsidR="00DF22AB" w:rsidRPr="002960A3" w:rsidRDefault="00B23A6C" w:rsidP="00DF22AB">
      <w:pPr>
        <w:pStyle w:val="BodyText"/>
        <w:rPr>
          <w:rFonts w:cs="Calibri"/>
          <w:caps/>
          <w:szCs w:val="22"/>
        </w:rPr>
      </w:pPr>
      <w:r w:rsidRPr="002960A3">
        <w:rPr>
          <w:rFonts w:cs="Calibri"/>
          <w:caps/>
          <w:szCs w:val="22"/>
        </w:rPr>
        <w:t xml:space="preserve">By receiving this </w:t>
      </w:r>
      <w:r w:rsidR="004E3A87" w:rsidRPr="002960A3">
        <w:rPr>
          <w:rFonts w:cs="Calibri"/>
          <w:caps/>
          <w:szCs w:val="22"/>
        </w:rPr>
        <w:t>Prospectus</w:t>
      </w:r>
      <w:r w:rsidRPr="002960A3">
        <w:rPr>
          <w:rFonts w:cs="Calibri"/>
          <w:caps/>
          <w:szCs w:val="22"/>
        </w:rPr>
        <w:t xml:space="preserve">, any person or entity in the UAE to whom it has been issued acknowledges and agrees that it has initiated the issue of the </w:t>
      </w:r>
      <w:r w:rsidR="004E3A87" w:rsidRPr="002960A3">
        <w:rPr>
          <w:rFonts w:cs="Calibri"/>
          <w:caps/>
          <w:szCs w:val="22"/>
        </w:rPr>
        <w:t>Prospectus</w:t>
      </w:r>
      <w:r w:rsidRPr="002960A3">
        <w:rPr>
          <w:rFonts w:cs="Calibri"/>
          <w:caps/>
          <w:szCs w:val="22"/>
        </w:rPr>
        <w:t xml:space="preserve"> and the offering of Interests, and that any purchase of Interests was not made as a result of promotional activities by the Fund, the Fund Manager or other person authorised to promote or distribute the Interests. Neither this Prospectus nor the Fund has been approved by, or registered with, the UAE Securities and Commodities Authority (the “SCA”), the UAE Central Bank or any other regulatory body of the UAE, nor has any placement agent or other person been authorised or licensed by the SCA, the UAE Central Bank or any other regulatory authority in the UAE to offer, market, advertise or distribute the Fund or the </w:t>
      </w:r>
      <w:r w:rsidR="002960A3">
        <w:rPr>
          <w:rFonts w:cs="Calibri"/>
          <w:caps/>
          <w:szCs w:val="22"/>
        </w:rPr>
        <w:t>tokens</w:t>
      </w:r>
      <w:r w:rsidRPr="002960A3">
        <w:rPr>
          <w:rFonts w:cs="Calibri"/>
          <w:caps/>
          <w:szCs w:val="22"/>
        </w:rPr>
        <w:t xml:space="preserve"> in the UAE (“promotion”). No promotion of the Fund or the </w:t>
      </w:r>
      <w:r w:rsidR="002960A3">
        <w:rPr>
          <w:rFonts w:cs="Calibri"/>
          <w:caps/>
          <w:szCs w:val="22"/>
        </w:rPr>
        <w:t>tokens</w:t>
      </w:r>
      <w:r w:rsidRPr="002960A3">
        <w:rPr>
          <w:rFonts w:cs="Calibri"/>
          <w:caps/>
          <w:szCs w:val="22"/>
        </w:rPr>
        <w:t xml:space="preserve"> has been, or will be, made in the UAE except by way of private placement to certain qualified investors only, in accordance with the laws and regulations of the UAE.</w:t>
      </w:r>
    </w:p>
    <w:p w14:paraId="2421E86A" w14:textId="77777777" w:rsidR="006C6B7E" w:rsidRPr="002960A3" w:rsidRDefault="006C6B7E" w:rsidP="006C6B7E">
      <w:pPr>
        <w:autoSpaceDE w:val="0"/>
        <w:autoSpaceDN w:val="0"/>
        <w:adjustRightInd w:val="0"/>
        <w:spacing w:line="240" w:lineRule="auto"/>
        <w:jc w:val="left"/>
        <w:rPr>
          <w:rFonts w:ascii="Calibri" w:hAnsi="Calibri" w:cs="Calibri"/>
          <w:b/>
          <w:bCs/>
          <w:sz w:val="22"/>
          <w:szCs w:val="22"/>
        </w:rPr>
      </w:pPr>
      <w:r w:rsidRPr="002960A3">
        <w:rPr>
          <w:rFonts w:ascii="Calibri" w:hAnsi="Calibri" w:cs="Calibri"/>
          <w:b/>
          <w:bCs/>
          <w:sz w:val="22"/>
          <w:szCs w:val="22"/>
        </w:rPr>
        <w:t>NOTICE TO INVESTORS IN THE DUBAI INTERNATIONAL FINANCIAL CENTRE</w:t>
      </w:r>
    </w:p>
    <w:p w14:paraId="64006FE5" w14:textId="77777777" w:rsidR="002960A3" w:rsidRPr="002960A3" w:rsidRDefault="002960A3" w:rsidP="006C6B7E">
      <w:pPr>
        <w:autoSpaceDE w:val="0"/>
        <w:autoSpaceDN w:val="0"/>
        <w:adjustRightInd w:val="0"/>
        <w:spacing w:line="240" w:lineRule="auto"/>
        <w:jc w:val="left"/>
        <w:rPr>
          <w:rFonts w:ascii="Calibri" w:hAnsi="Calibri" w:cs="Calibri"/>
          <w:b/>
          <w:bCs/>
          <w:sz w:val="22"/>
          <w:szCs w:val="22"/>
        </w:rPr>
      </w:pPr>
    </w:p>
    <w:p w14:paraId="25192C4D" w14:textId="008C7DFD" w:rsidR="006C6B7E" w:rsidRPr="002960A3" w:rsidRDefault="006C6B7E" w:rsidP="002960A3">
      <w:pPr>
        <w:autoSpaceDE w:val="0"/>
        <w:autoSpaceDN w:val="0"/>
        <w:adjustRightInd w:val="0"/>
        <w:spacing w:line="240" w:lineRule="auto"/>
        <w:rPr>
          <w:rFonts w:ascii="Calibri" w:hAnsi="Calibri" w:cs="Calibri"/>
          <w:sz w:val="22"/>
          <w:szCs w:val="22"/>
        </w:rPr>
      </w:pPr>
      <w:r w:rsidRPr="002960A3">
        <w:rPr>
          <w:rFonts w:ascii="Calibri" w:hAnsi="Calibri" w:cs="Calibri"/>
          <w:sz w:val="22"/>
          <w:szCs w:val="22"/>
        </w:rPr>
        <w:t xml:space="preserve">BY RECEIVING THIS </w:t>
      </w:r>
      <w:r w:rsidR="002960A3">
        <w:rPr>
          <w:rFonts w:ascii="Calibri" w:hAnsi="Calibri" w:cs="Calibri"/>
          <w:sz w:val="22"/>
          <w:szCs w:val="22"/>
        </w:rPr>
        <w:t>PROSPECTUS</w:t>
      </w:r>
      <w:r w:rsidRPr="002960A3">
        <w:rPr>
          <w:rFonts w:ascii="Calibri" w:hAnsi="Calibri" w:cs="Calibri"/>
          <w:sz w:val="22"/>
          <w:szCs w:val="22"/>
        </w:rPr>
        <w:t>, THE PERSON OR ENTITY TO WHOM IT HAS BEEN ISSUED UNDERSTANDS,</w:t>
      </w:r>
      <w:r w:rsidR="002960A3" w:rsidRPr="002960A3">
        <w:rPr>
          <w:rFonts w:ascii="Calibri" w:hAnsi="Calibri" w:cs="Calibri"/>
          <w:sz w:val="22"/>
          <w:szCs w:val="22"/>
        </w:rPr>
        <w:t xml:space="preserve"> </w:t>
      </w:r>
      <w:r w:rsidRPr="002960A3">
        <w:rPr>
          <w:rFonts w:ascii="Calibri" w:hAnsi="Calibri" w:cs="Calibri"/>
          <w:sz w:val="22"/>
          <w:szCs w:val="22"/>
        </w:rPr>
        <w:t xml:space="preserve">ACKNOWLEDGES AND AGREES THAT THIS </w:t>
      </w:r>
      <w:r w:rsidR="002960A3">
        <w:rPr>
          <w:rFonts w:ascii="Calibri" w:hAnsi="Calibri" w:cs="Calibri"/>
          <w:sz w:val="22"/>
          <w:szCs w:val="22"/>
        </w:rPr>
        <w:t>PROSPECTUS</w:t>
      </w:r>
      <w:r w:rsidRPr="002960A3">
        <w:rPr>
          <w:rFonts w:ascii="Calibri" w:hAnsi="Calibri" w:cs="Calibri"/>
          <w:sz w:val="22"/>
          <w:szCs w:val="22"/>
        </w:rPr>
        <w:t xml:space="preserve">, THE OFFERING AND THE </w:t>
      </w:r>
      <w:r w:rsidR="002960A3">
        <w:rPr>
          <w:rFonts w:ascii="Calibri" w:hAnsi="Calibri" w:cs="Calibri"/>
          <w:sz w:val="22"/>
          <w:szCs w:val="22"/>
        </w:rPr>
        <w:t>TOKENS</w:t>
      </w:r>
      <w:r w:rsidRPr="002960A3">
        <w:rPr>
          <w:rFonts w:ascii="Calibri" w:hAnsi="Calibri" w:cs="Calibri"/>
          <w:sz w:val="22"/>
          <w:szCs w:val="22"/>
        </w:rPr>
        <w:t xml:space="preserve"> RELATE TO THE</w:t>
      </w:r>
      <w:r w:rsidR="002960A3" w:rsidRPr="002960A3">
        <w:rPr>
          <w:rFonts w:ascii="Calibri" w:hAnsi="Calibri" w:cs="Calibri"/>
          <w:sz w:val="22"/>
          <w:szCs w:val="22"/>
        </w:rPr>
        <w:t xml:space="preserve"> </w:t>
      </w:r>
      <w:r w:rsidRPr="002960A3">
        <w:rPr>
          <w:rFonts w:ascii="Calibri" w:hAnsi="Calibri" w:cs="Calibri"/>
          <w:sz w:val="22"/>
          <w:szCs w:val="22"/>
        </w:rPr>
        <w:t>FUND, WHICH IS A FOREIGN INVESTMENT FUND. THE FUND IS NOT SUBJECT TO ANY FORM OF REGULATION BY</w:t>
      </w:r>
      <w:r w:rsidR="002960A3" w:rsidRPr="002960A3">
        <w:rPr>
          <w:rFonts w:ascii="Calibri" w:hAnsi="Calibri" w:cs="Calibri"/>
          <w:sz w:val="22"/>
          <w:szCs w:val="22"/>
        </w:rPr>
        <w:t xml:space="preserve"> </w:t>
      </w:r>
      <w:r w:rsidRPr="002960A3">
        <w:rPr>
          <w:rFonts w:ascii="Calibri" w:hAnsi="Calibri" w:cs="Calibri"/>
          <w:sz w:val="22"/>
          <w:szCs w:val="22"/>
        </w:rPr>
        <w:t>THE DUBAI INTERNATIONAL FINANCIAL CENTRE (THE ‘DIFC’) OR THE DUBAI FINANCIAL SERVICES AUTHORITY</w:t>
      </w:r>
      <w:r w:rsidR="002960A3" w:rsidRPr="002960A3">
        <w:rPr>
          <w:rFonts w:ascii="Calibri" w:hAnsi="Calibri" w:cs="Calibri"/>
          <w:sz w:val="22"/>
          <w:szCs w:val="22"/>
        </w:rPr>
        <w:t xml:space="preserve"> </w:t>
      </w:r>
      <w:r w:rsidRPr="002960A3">
        <w:rPr>
          <w:rFonts w:ascii="Calibri" w:hAnsi="Calibri" w:cs="Calibri"/>
          <w:sz w:val="22"/>
          <w:szCs w:val="22"/>
        </w:rPr>
        <w:t xml:space="preserve">(THE ‘DFSA’). NONE OF THE FUND, THIS </w:t>
      </w:r>
      <w:r w:rsidR="002960A3">
        <w:rPr>
          <w:rFonts w:ascii="Calibri" w:hAnsi="Calibri" w:cs="Calibri"/>
          <w:sz w:val="22"/>
          <w:szCs w:val="22"/>
        </w:rPr>
        <w:t>PROSPECTUS</w:t>
      </w:r>
      <w:r w:rsidRPr="002960A3">
        <w:rPr>
          <w:rFonts w:ascii="Calibri" w:hAnsi="Calibri" w:cs="Calibri"/>
          <w:sz w:val="22"/>
          <w:szCs w:val="22"/>
        </w:rPr>
        <w:t xml:space="preserve">, THE OFFERING OR THE </w:t>
      </w:r>
      <w:r w:rsidR="002960A3">
        <w:rPr>
          <w:rFonts w:ascii="Calibri" w:hAnsi="Calibri" w:cs="Calibri"/>
          <w:sz w:val="22"/>
          <w:szCs w:val="22"/>
        </w:rPr>
        <w:t>TOKENS</w:t>
      </w:r>
      <w:r w:rsidRPr="002960A3">
        <w:rPr>
          <w:rFonts w:ascii="Calibri" w:hAnsi="Calibri" w:cs="Calibri"/>
          <w:sz w:val="22"/>
          <w:szCs w:val="22"/>
        </w:rPr>
        <w:t xml:space="preserve"> HAVE BEEN</w:t>
      </w:r>
      <w:r w:rsidR="002960A3" w:rsidRPr="002960A3">
        <w:rPr>
          <w:rFonts w:ascii="Calibri" w:hAnsi="Calibri" w:cs="Calibri"/>
          <w:sz w:val="22"/>
          <w:szCs w:val="22"/>
        </w:rPr>
        <w:t xml:space="preserve"> </w:t>
      </w:r>
      <w:r w:rsidRPr="002960A3">
        <w:rPr>
          <w:rFonts w:ascii="Calibri" w:hAnsi="Calibri" w:cs="Calibri"/>
          <w:sz w:val="22"/>
          <w:szCs w:val="22"/>
        </w:rPr>
        <w:t>APPROVED, REGISTERED, RECOGNI</w:t>
      </w:r>
      <w:r w:rsidR="002960A3">
        <w:rPr>
          <w:rFonts w:ascii="Calibri" w:hAnsi="Calibri" w:cs="Calibri"/>
          <w:sz w:val="22"/>
          <w:szCs w:val="22"/>
        </w:rPr>
        <w:t>S</w:t>
      </w:r>
      <w:r w:rsidRPr="002960A3">
        <w:rPr>
          <w:rFonts w:ascii="Calibri" w:hAnsi="Calibri" w:cs="Calibri"/>
          <w:sz w:val="22"/>
          <w:szCs w:val="22"/>
        </w:rPr>
        <w:t>ED OR LICENSED BY THE DIFC OR THE DFSA.</w:t>
      </w:r>
      <w:r w:rsidR="002960A3" w:rsidRPr="002960A3">
        <w:rPr>
          <w:rFonts w:ascii="Calibri" w:hAnsi="Calibri" w:cs="Calibri"/>
          <w:sz w:val="22"/>
          <w:szCs w:val="22"/>
        </w:rPr>
        <w:t xml:space="preserve"> </w:t>
      </w:r>
      <w:r w:rsidRPr="002960A3">
        <w:rPr>
          <w:rFonts w:ascii="Calibri" w:hAnsi="Calibri" w:cs="Calibri"/>
          <w:sz w:val="22"/>
          <w:szCs w:val="22"/>
        </w:rPr>
        <w:t>NEITHER THE DIFC NOR THE DFSA HAS ANY RESPONSIBILITY FOR REVIEWING OR VERIFYING THIS</w:t>
      </w:r>
      <w:r w:rsidR="002960A3">
        <w:rPr>
          <w:rFonts w:ascii="Calibri" w:hAnsi="Calibri" w:cs="Calibri"/>
          <w:sz w:val="22"/>
          <w:szCs w:val="22"/>
        </w:rPr>
        <w:t xml:space="preserve"> PROSPECTUS</w:t>
      </w:r>
      <w:r w:rsidR="002960A3" w:rsidRPr="002960A3">
        <w:rPr>
          <w:rFonts w:ascii="Calibri" w:hAnsi="Calibri" w:cs="Calibri"/>
          <w:sz w:val="22"/>
          <w:szCs w:val="22"/>
        </w:rPr>
        <w:t xml:space="preserve"> </w:t>
      </w:r>
      <w:r w:rsidRPr="002960A3">
        <w:rPr>
          <w:rFonts w:ascii="Calibri" w:hAnsi="Calibri" w:cs="Calibri"/>
          <w:sz w:val="22"/>
          <w:szCs w:val="22"/>
        </w:rPr>
        <w:t xml:space="preserve">OR ANY OTHER </w:t>
      </w:r>
      <w:r w:rsidR="002960A3">
        <w:rPr>
          <w:rFonts w:ascii="Calibri" w:hAnsi="Calibri" w:cs="Calibri"/>
          <w:sz w:val="22"/>
          <w:szCs w:val="22"/>
        </w:rPr>
        <w:t>PROSPECTUS</w:t>
      </w:r>
      <w:r w:rsidRPr="002960A3">
        <w:rPr>
          <w:rFonts w:ascii="Calibri" w:hAnsi="Calibri" w:cs="Calibri"/>
          <w:sz w:val="22"/>
          <w:szCs w:val="22"/>
        </w:rPr>
        <w:t>, DOCUMENT OR INFORMATION RELATING TO THE FUND.</w:t>
      </w:r>
      <w:r w:rsidR="002960A3" w:rsidRPr="002960A3">
        <w:rPr>
          <w:rFonts w:ascii="Calibri" w:hAnsi="Calibri" w:cs="Calibri"/>
          <w:sz w:val="22"/>
          <w:szCs w:val="22"/>
        </w:rPr>
        <w:t xml:space="preserve"> </w:t>
      </w:r>
      <w:r w:rsidRPr="002960A3">
        <w:rPr>
          <w:rFonts w:ascii="Calibri" w:hAnsi="Calibri" w:cs="Calibri"/>
          <w:sz w:val="22"/>
          <w:szCs w:val="22"/>
        </w:rPr>
        <w:t xml:space="preserve">ACCORDINGLY, NEITHER THE DIFC NOR THE DFSA HAS APPROVED THIS </w:t>
      </w:r>
      <w:r w:rsidR="002960A3">
        <w:rPr>
          <w:rFonts w:ascii="Calibri" w:hAnsi="Calibri" w:cs="Calibri"/>
          <w:sz w:val="22"/>
          <w:szCs w:val="22"/>
        </w:rPr>
        <w:t>PROSPECTUS</w:t>
      </w:r>
      <w:r w:rsidR="002960A3" w:rsidRPr="002960A3">
        <w:rPr>
          <w:rFonts w:ascii="Calibri" w:hAnsi="Calibri" w:cs="Calibri"/>
          <w:sz w:val="22"/>
          <w:szCs w:val="22"/>
        </w:rPr>
        <w:t xml:space="preserve"> </w:t>
      </w:r>
      <w:r w:rsidRPr="002960A3">
        <w:rPr>
          <w:rFonts w:ascii="Calibri" w:hAnsi="Calibri" w:cs="Calibri"/>
          <w:sz w:val="22"/>
          <w:szCs w:val="22"/>
        </w:rPr>
        <w:t>OR ANY OTHER</w:t>
      </w:r>
      <w:r w:rsidR="002960A3" w:rsidRPr="002960A3">
        <w:rPr>
          <w:rFonts w:ascii="Calibri" w:hAnsi="Calibri" w:cs="Calibri"/>
          <w:sz w:val="22"/>
          <w:szCs w:val="22"/>
        </w:rPr>
        <w:t xml:space="preserve"> </w:t>
      </w:r>
      <w:r w:rsidRPr="002960A3">
        <w:rPr>
          <w:rFonts w:ascii="Calibri" w:hAnsi="Calibri" w:cs="Calibri"/>
          <w:sz w:val="22"/>
          <w:szCs w:val="22"/>
        </w:rPr>
        <w:t xml:space="preserve">RELATED DOCUMENT OR TAKEN ANY STEPS TO VERIFY THE INFORMATION SET OUT IN THIS </w:t>
      </w:r>
      <w:r w:rsidR="002960A3">
        <w:rPr>
          <w:rFonts w:ascii="Calibri" w:hAnsi="Calibri" w:cs="Calibri"/>
          <w:sz w:val="22"/>
          <w:szCs w:val="22"/>
        </w:rPr>
        <w:t>PROSPECTUS</w:t>
      </w:r>
      <w:r w:rsidR="002960A3" w:rsidRPr="002960A3">
        <w:rPr>
          <w:rFonts w:ascii="Calibri" w:hAnsi="Calibri" w:cs="Calibri"/>
          <w:sz w:val="22"/>
          <w:szCs w:val="22"/>
        </w:rPr>
        <w:t xml:space="preserve"> </w:t>
      </w:r>
      <w:r w:rsidRPr="002960A3">
        <w:rPr>
          <w:rFonts w:ascii="Calibri" w:hAnsi="Calibri" w:cs="Calibri"/>
          <w:sz w:val="22"/>
          <w:szCs w:val="22"/>
        </w:rPr>
        <w:t>AND HAS NO RESPONSIBILITY FOR IT.</w:t>
      </w:r>
      <w:r w:rsidR="002960A3" w:rsidRPr="002960A3">
        <w:rPr>
          <w:rFonts w:ascii="Calibri" w:hAnsi="Calibri" w:cs="Calibri"/>
          <w:sz w:val="22"/>
          <w:szCs w:val="22"/>
        </w:rPr>
        <w:t xml:space="preserve"> </w:t>
      </w:r>
      <w:r w:rsidRPr="002960A3">
        <w:rPr>
          <w:rFonts w:ascii="Calibri" w:hAnsi="Calibri" w:cs="Calibri"/>
          <w:sz w:val="22"/>
          <w:szCs w:val="22"/>
        </w:rPr>
        <w:t>THE INTERESTS MAY BE ILLIQUID AND SUBJECT TO RESTRICTIONS ON THEIR RESALE. PROSPECTIVE</w:t>
      </w:r>
      <w:r w:rsidR="002960A3" w:rsidRPr="002960A3">
        <w:rPr>
          <w:rFonts w:ascii="Calibri" w:hAnsi="Calibri" w:cs="Calibri"/>
          <w:sz w:val="22"/>
          <w:szCs w:val="22"/>
        </w:rPr>
        <w:t xml:space="preserve"> </w:t>
      </w:r>
      <w:r w:rsidRPr="002960A3">
        <w:rPr>
          <w:rFonts w:ascii="Calibri" w:hAnsi="Calibri" w:cs="Calibri"/>
          <w:sz w:val="22"/>
          <w:szCs w:val="22"/>
        </w:rPr>
        <w:t xml:space="preserve">PURCHASERS OF THE </w:t>
      </w:r>
      <w:r w:rsidR="002960A3">
        <w:rPr>
          <w:rFonts w:ascii="Calibri" w:hAnsi="Calibri" w:cs="Calibri"/>
          <w:sz w:val="22"/>
          <w:szCs w:val="22"/>
        </w:rPr>
        <w:t>TOKENS</w:t>
      </w:r>
      <w:r w:rsidRPr="002960A3">
        <w:rPr>
          <w:rFonts w:ascii="Calibri" w:hAnsi="Calibri" w:cs="Calibri"/>
          <w:sz w:val="22"/>
          <w:szCs w:val="22"/>
        </w:rPr>
        <w:t xml:space="preserve"> SHOULD CONDUCT THEIR OWN DUE DILIGENCE ON THE INTERESTS.</w:t>
      </w:r>
      <w:r w:rsidR="002960A3" w:rsidRPr="002960A3">
        <w:rPr>
          <w:rFonts w:ascii="Calibri" w:hAnsi="Calibri" w:cs="Calibri"/>
          <w:sz w:val="22"/>
          <w:szCs w:val="22"/>
        </w:rPr>
        <w:t xml:space="preserve"> </w:t>
      </w:r>
      <w:r w:rsidRPr="002960A3">
        <w:rPr>
          <w:rFonts w:ascii="Calibri" w:hAnsi="Calibri" w:cs="Calibri"/>
          <w:sz w:val="22"/>
          <w:szCs w:val="22"/>
        </w:rPr>
        <w:t xml:space="preserve">IF YOU DO NOT UNDERSTAND THE CONTENTS OF THIS </w:t>
      </w:r>
      <w:r w:rsidR="002960A3">
        <w:rPr>
          <w:rFonts w:ascii="Calibri" w:hAnsi="Calibri" w:cs="Calibri"/>
          <w:sz w:val="22"/>
          <w:szCs w:val="22"/>
        </w:rPr>
        <w:t>PROSPECTUS</w:t>
      </w:r>
      <w:r w:rsidRPr="002960A3">
        <w:rPr>
          <w:rFonts w:ascii="Calibri" w:hAnsi="Calibri" w:cs="Calibri"/>
          <w:sz w:val="22"/>
          <w:szCs w:val="22"/>
        </w:rPr>
        <w:t>, YOU SHOULD CONSULT AN AUTHORIZED</w:t>
      </w:r>
      <w:r w:rsidR="002960A3" w:rsidRPr="002960A3">
        <w:rPr>
          <w:rFonts w:ascii="Calibri" w:hAnsi="Calibri" w:cs="Calibri"/>
          <w:sz w:val="22"/>
          <w:szCs w:val="22"/>
        </w:rPr>
        <w:t xml:space="preserve"> </w:t>
      </w:r>
      <w:r w:rsidRPr="002960A3">
        <w:rPr>
          <w:rFonts w:ascii="Calibri" w:hAnsi="Calibri" w:cs="Calibri"/>
          <w:sz w:val="22"/>
          <w:szCs w:val="22"/>
        </w:rPr>
        <w:t>FINANCIAL ADVISOR.</w:t>
      </w:r>
      <w:r w:rsidR="002960A3" w:rsidRPr="002960A3">
        <w:rPr>
          <w:rFonts w:ascii="Calibri" w:hAnsi="Calibri" w:cs="Calibri"/>
          <w:sz w:val="22"/>
          <w:szCs w:val="22"/>
        </w:rPr>
        <w:t xml:space="preserve"> </w:t>
      </w:r>
      <w:r w:rsidRPr="002960A3">
        <w:rPr>
          <w:rFonts w:ascii="Calibri" w:hAnsi="Calibri" w:cs="Calibri"/>
          <w:sz w:val="22"/>
          <w:szCs w:val="22"/>
        </w:rPr>
        <w:t xml:space="preserve">THIS </w:t>
      </w:r>
      <w:r w:rsidR="002960A3">
        <w:rPr>
          <w:rFonts w:ascii="Calibri" w:hAnsi="Calibri" w:cs="Calibri"/>
          <w:sz w:val="22"/>
          <w:szCs w:val="22"/>
        </w:rPr>
        <w:t>PROSPECTUS</w:t>
      </w:r>
      <w:r w:rsidR="002960A3" w:rsidRPr="002960A3">
        <w:rPr>
          <w:rFonts w:ascii="Calibri" w:hAnsi="Calibri" w:cs="Calibri"/>
          <w:sz w:val="22"/>
          <w:szCs w:val="22"/>
        </w:rPr>
        <w:t xml:space="preserve"> </w:t>
      </w:r>
      <w:r w:rsidRPr="002960A3">
        <w:rPr>
          <w:rFonts w:ascii="Calibri" w:hAnsi="Calibri" w:cs="Calibri"/>
          <w:sz w:val="22"/>
          <w:szCs w:val="22"/>
        </w:rPr>
        <w:t>IS INTENDED ONLY FOR PROSPECTIVE INVESTORS WHO: (A) ARE ‘PROFESSIONAL</w:t>
      </w:r>
      <w:r w:rsidR="002960A3" w:rsidRPr="002960A3">
        <w:rPr>
          <w:rFonts w:ascii="Calibri" w:hAnsi="Calibri" w:cs="Calibri"/>
          <w:sz w:val="22"/>
          <w:szCs w:val="22"/>
        </w:rPr>
        <w:t xml:space="preserve"> </w:t>
      </w:r>
      <w:r w:rsidRPr="002960A3">
        <w:rPr>
          <w:rFonts w:ascii="Calibri" w:hAnsi="Calibri" w:cs="Calibri"/>
          <w:sz w:val="22"/>
          <w:szCs w:val="22"/>
        </w:rPr>
        <w:t>CLIENTS’ FOR THE PURPOSES OF, AND AS DEFINED IN, THE DFSA RULEBOOK AND (B) CAN MAKE A MINIMUM</w:t>
      </w:r>
      <w:r w:rsidR="002960A3" w:rsidRPr="002960A3">
        <w:rPr>
          <w:rFonts w:ascii="Calibri" w:hAnsi="Calibri" w:cs="Calibri"/>
          <w:sz w:val="22"/>
          <w:szCs w:val="22"/>
        </w:rPr>
        <w:t xml:space="preserve"> </w:t>
      </w:r>
      <w:r w:rsidRPr="002960A3">
        <w:rPr>
          <w:rFonts w:ascii="Calibri" w:hAnsi="Calibri" w:cs="Calibri"/>
          <w:sz w:val="22"/>
          <w:szCs w:val="22"/>
        </w:rPr>
        <w:t>SUBSCRIPTION OF AT LEAST US$50,000 AS SPECIFIED IN THE DIFC COLLECTIVE INVESTMENT LAW AND THE</w:t>
      </w:r>
      <w:r w:rsidR="002960A3" w:rsidRPr="002960A3">
        <w:rPr>
          <w:rFonts w:ascii="Calibri" w:hAnsi="Calibri" w:cs="Calibri"/>
          <w:sz w:val="22"/>
          <w:szCs w:val="22"/>
        </w:rPr>
        <w:t xml:space="preserve"> </w:t>
      </w:r>
      <w:r w:rsidRPr="002960A3">
        <w:rPr>
          <w:rFonts w:ascii="Calibri" w:hAnsi="Calibri" w:cs="Calibri"/>
          <w:sz w:val="22"/>
          <w:szCs w:val="22"/>
        </w:rPr>
        <w:t>DIFC COLLECTIVE INVESTMENT RULES, AND MUST NOT THEREFORE BE DELIVERED TO, OR RELIED ON BY (I)</w:t>
      </w:r>
      <w:r w:rsidR="002960A3" w:rsidRPr="002960A3">
        <w:rPr>
          <w:rFonts w:ascii="Calibri" w:hAnsi="Calibri" w:cs="Calibri"/>
          <w:sz w:val="22"/>
          <w:szCs w:val="22"/>
        </w:rPr>
        <w:t xml:space="preserve"> </w:t>
      </w:r>
      <w:r w:rsidRPr="002960A3">
        <w:rPr>
          <w:rFonts w:ascii="Calibri" w:hAnsi="Calibri" w:cs="Calibri"/>
          <w:sz w:val="22"/>
          <w:szCs w:val="22"/>
        </w:rPr>
        <w:t>A POTENTIAL INVESTOR WHO IS A ‘RETAIL CLIENT’ FOR THE PURPOSES OF, AND AS DEFINED IN, THE DFSA</w:t>
      </w:r>
      <w:r w:rsidR="002960A3" w:rsidRPr="002960A3">
        <w:rPr>
          <w:rFonts w:ascii="Calibri" w:hAnsi="Calibri" w:cs="Calibri"/>
          <w:sz w:val="22"/>
          <w:szCs w:val="22"/>
        </w:rPr>
        <w:t xml:space="preserve"> </w:t>
      </w:r>
      <w:r w:rsidRPr="002960A3">
        <w:rPr>
          <w:rFonts w:ascii="Calibri" w:hAnsi="Calibri" w:cs="Calibri"/>
          <w:sz w:val="22"/>
          <w:szCs w:val="22"/>
        </w:rPr>
        <w:t>RULEBOOK, OR (II) A PROFESSIONAL CLIENT NOT ABLE TO MAKE SUCH MINIMUM SUBSCRIPTION.</w:t>
      </w:r>
    </w:p>
    <w:p w14:paraId="1A221572" w14:textId="77777777" w:rsidR="006C6B7E" w:rsidRDefault="006C6B7E" w:rsidP="006C6B7E">
      <w:pPr>
        <w:pStyle w:val="BodyText"/>
        <w:rPr>
          <w:rFonts w:cs="Arial"/>
        </w:rPr>
      </w:pPr>
    </w:p>
    <w:p w14:paraId="14853806" w14:textId="5BDAB239" w:rsidR="002960A3" w:rsidRDefault="002960A3" w:rsidP="002960A3">
      <w:pPr>
        <w:autoSpaceDE w:val="0"/>
        <w:autoSpaceDN w:val="0"/>
        <w:adjustRightInd w:val="0"/>
        <w:spacing w:line="240" w:lineRule="auto"/>
        <w:jc w:val="left"/>
        <w:rPr>
          <w:rFonts w:ascii="Calibri" w:hAnsi="Calibri" w:cs="Calibri"/>
          <w:b/>
          <w:bCs/>
          <w:sz w:val="22"/>
          <w:szCs w:val="22"/>
        </w:rPr>
      </w:pPr>
      <w:r w:rsidRPr="002960A3">
        <w:rPr>
          <w:rFonts w:ascii="Calibri" w:hAnsi="Calibri" w:cs="Calibri"/>
          <w:b/>
          <w:bCs/>
          <w:sz w:val="22"/>
          <w:szCs w:val="22"/>
        </w:rPr>
        <w:t xml:space="preserve">NOTICE TO INVESTORS IN THE </w:t>
      </w:r>
      <w:r>
        <w:rPr>
          <w:rFonts w:ascii="Calibri" w:hAnsi="Calibri" w:cs="Calibri"/>
          <w:b/>
          <w:bCs/>
          <w:sz w:val="22"/>
          <w:szCs w:val="22"/>
        </w:rPr>
        <w:t>ABU DHABI GLOBAL MARKET</w:t>
      </w:r>
    </w:p>
    <w:p w14:paraId="336CE3D1" w14:textId="77777777" w:rsidR="002960A3" w:rsidRPr="002960A3" w:rsidRDefault="002960A3" w:rsidP="002960A3">
      <w:pPr>
        <w:autoSpaceDE w:val="0"/>
        <w:autoSpaceDN w:val="0"/>
        <w:adjustRightInd w:val="0"/>
        <w:spacing w:line="240" w:lineRule="auto"/>
        <w:rPr>
          <w:rFonts w:ascii="Calibri" w:hAnsi="Calibri" w:cs="Calibri"/>
          <w:b/>
          <w:bCs/>
          <w:sz w:val="22"/>
          <w:szCs w:val="22"/>
        </w:rPr>
      </w:pPr>
    </w:p>
    <w:p w14:paraId="6AF512B1" w14:textId="093C2E50" w:rsidR="002960A3" w:rsidRPr="002960A3" w:rsidRDefault="006C6B7E" w:rsidP="002960A3">
      <w:pPr>
        <w:autoSpaceDE w:val="0"/>
        <w:autoSpaceDN w:val="0"/>
        <w:adjustRightInd w:val="0"/>
        <w:spacing w:line="240" w:lineRule="auto"/>
        <w:rPr>
          <w:rFonts w:ascii="Calibri" w:hAnsi="Calibri" w:cs="Calibri"/>
          <w:sz w:val="22"/>
          <w:szCs w:val="22"/>
        </w:rPr>
      </w:pPr>
      <w:r w:rsidRPr="002960A3">
        <w:rPr>
          <w:rFonts w:ascii="Calibri" w:hAnsi="Calibri" w:cs="Calibri"/>
          <w:sz w:val="22"/>
          <w:szCs w:val="22"/>
        </w:rPr>
        <w:t xml:space="preserve">THE INFORMATION CONTAINED IN THIS </w:t>
      </w:r>
      <w:r w:rsidR="002960A3">
        <w:rPr>
          <w:rFonts w:ascii="Calibri" w:hAnsi="Calibri" w:cs="Calibri"/>
          <w:sz w:val="22"/>
          <w:szCs w:val="22"/>
        </w:rPr>
        <w:t>PROSPECTUS</w:t>
      </w:r>
      <w:r w:rsidRPr="002960A3">
        <w:rPr>
          <w:rFonts w:ascii="Calibri" w:hAnsi="Calibri" w:cs="Calibri"/>
          <w:sz w:val="22"/>
          <w:szCs w:val="22"/>
        </w:rPr>
        <w:t xml:space="preserve"> IS EXCLUSIVELY ADDRESSED TO THE RECIPIENTS. BY</w:t>
      </w:r>
      <w:r w:rsidR="002960A3" w:rsidRPr="002960A3">
        <w:rPr>
          <w:rFonts w:ascii="Calibri" w:hAnsi="Calibri" w:cs="Calibri"/>
          <w:sz w:val="22"/>
          <w:szCs w:val="22"/>
        </w:rPr>
        <w:t xml:space="preserve"> </w:t>
      </w:r>
      <w:r w:rsidRPr="002960A3">
        <w:rPr>
          <w:rFonts w:ascii="Calibri" w:hAnsi="Calibri" w:cs="Calibri"/>
          <w:sz w:val="22"/>
          <w:szCs w:val="22"/>
        </w:rPr>
        <w:t xml:space="preserve">RECEIVING THIS </w:t>
      </w:r>
      <w:r w:rsidR="002960A3">
        <w:rPr>
          <w:rFonts w:ascii="Calibri" w:hAnsi="Calibri" w:cs="Calibri"/>
          <w:sz w:val="22"/>
          <w:szCs w:val="22"/>
        </w:rPr>
        <w:t>PROSPECTUS</w:t>
      </w:r>
      <w:r w:rsidRPr="002960A3">
        <w:rPr>
          <w:rFonts w:ascii="Calibri" w:hAnsi="Calibri" w:cs="Calibri"/>
          <w:sz w:val="22"/>
          <w:szCs w:val="22"/>
        </w:rPr>
        <w:t>, THE PERSON OR ENTITY TO WHOM IT HAS BEEN ISSUED UNDERSTANDS,</w:t>
      </w:r>
      <w:r w:rsidR="002960A3" w:rsidRPr="002960A3">
        <w:rPr>
          <w:rFonts w:ascii="Calibri" w:hAnsi="Calibri" w:cs="Calibri"/>
          <w:sz w:val="22"/>
          <w:szCs w:val="22"/>
        </w:rPr>
        <w:t xml:space="preserve"> </w:t>
      </w:r>
      <w:r w:rsidRPr="002960A3">
        <w:rPr>
          <w:rFonts w:ascii="Calibri" w:hAnsi="Calibri" w:cs="Calibri"/>
          <w:sz w:val="22"/>
          <w:szCs w:val="22"/>
        </w:rPr>
        <w:t>ACKNOWLEDGES AND AGREES THAT THIS</w:t>
      </w:r>
      <w:r w:rsidR="002960A3" w:rsidRPr="002960A3">
        <w:rPr>
          <w:rFonts w:ascii="Calibri" w:hAnsi="Calibri" w:cs="Calibri"/>
          <w:sz w:val="22"/>
          <w:szCs w:val="22"/>
        </w:rPr>
        <w:t xml:space="preserve"> </w:t>
      </w:r>
      <w:r w:rsidR="002960A3">
        <w:rPr>
          <w:rFonts w:ascii="Calibri" w:hAnsi="Calibri" w:cs="Calibri"/>
          <w:sz w:val="22"/>
          <w:szCs w:val="22"/>
        </w:rPr>
        <w:t>PROSPECTUS</w:t>
      </w:r>
      <w:r w:rsidRPr="002960A3">
        <w:rPr>
          <w:rFonts w:ascii="Calibri" w:hAnsi="Calibri" w:cs="Calibri"/>
          <w:sz w:val="22"/>
          <w:szCs w:val="22"/>
        </w:rPr>
        <w:t>, THE OFFERING AND THE INTERESTS RELATE TO</w:t>
      </w:r>
      <w:r w:rsidR="002960A3" w:rsidRPr="002960A3">
        <w:rPr>
          <w:rFonts w:ascii="Calibri" w:hAnsi="Calibri" w:cs="Calibri"/>
          <w:sz w:val="22"/>
          <w:szCs w:val="22"/>
        </w:rPr>
        <w:t xml:space="preserve"> </w:t>
      </w:r>
      <w:r w:rsidRPr="002960A3">
        <w:rPr>
          <w:rFonts w:ascii="Calibri" w:hAnsi="Calibri" w:cs="Calibri"/>
          <w:sz w:val="22"/>
          <w:szCs w:val="22"/>
        </w:rPr>
        <w:t>THE FUND, WHICH IS A DOMESTIC FUND THAT IS A</w:t>
      </w:r>
      <w:r w:rsidR="002960A3">
        <w:rPr>
          <w:rFonts w:ascii="Calibri" w:hAnsi="Calibri" w:cs="Calibri"/>
          <w:sz w:val="22"/>
          <w:szCs w:val="22"/>
        </w:rPr>
        <w:t xml:space="preserve">N EXEMPT </w:t>
      </w:r>
      <w:r w:rsidRPr="002960A3">
        <w:rPr>
          <w:rFonts w:ascii="Calibri" w:hAnsi="Calibri" w:cs="Calibri"/>
          <w:sz w:val="22"/>
          <w:szCs w:val="22"/>
        </w:rPr>
        <w:t>FUND.</w:t>
      </w:r>
      <w:r w:rsidR="002960A3" w:rsidRPr="002960A3">
        <w:rPr>
          <w:rFonts w:ascii="Calibri" w:hAnsi="Calibri" w:cs="Calibri"/>
          <w:sz w:val="22"/>
          <w:szCs w:val="22"/>
        </w:rPr>
        <w:t xml:space="preserve">  </w:t>
      </w:r>
      <w:r w:rsidRPr="002960A3">
        <w:rPr>
          <w:rFonts w:ascii="Calibri" w:hAnsi="Calibri" w:cs="Calibri"/>
          <w:sz w:val="22"/>
          <w:szCs w:val="22"/>
        </w:rPr>
        <w:t>NEITHER THE ADGM NOR THE FSRA HAS ANY RESPONSIBILITY FOR REVIEWING OR VERIFYING THIS</w:t>
      </w:r>
      <w:r w:rsidR="002960A3" w:rsidRPr="002960A3">
        <w:rPr>
          <w:rFonts w:ascii="Calibri" w:hAnsi="Calibri" w:cs="Calibri"/>
          <w:sz w:val="22"/>
          <w:szCs w:val="22"/>
        </w:rPr>
        <w:t xml:space="preserve"> </w:t>
      </w:r>
      <w:r w:rsidR="002960A3">
        <w:rPr>
          <w:rFonts w:ascii="Calibri" w:hAnsi="Calibri" w:cs="Calibri"/>
          <w:sz w:val="22"/>
          <w:szCs w:val="22"/>
        </w:rPr>
        <w:t>PROSPECTUS</w:t>
      </w:r>
      <w:r w:rsidR="002960A3" w:rsidRPr="002960A3">
        <w:rPr>
          <w:rFonts w:ascii="Calibri" w:hAnsi="Calibri" w:cs="Calibri"/>
          <w:sz w:val="22"/>
          <w:szCs w:val="22"/>
        </w:rPr>
        <w:t xml:space="preserve"> </w:t>
      </w:r>
      <w:r w:rsidRPr="002960A3">
        <w:rPr>
          <w:rFonts w:ascii="Calibri" w:hAnsi="Calibri" w:cs="Calibri"/>
          <w:sz w:val="22"/>
          <w:szCs w:val="22"/>
        </w:rPr>
        <w:t xml:space="preserve">OR ANY OTHER </w:t>
      </w:r>
      <w:r w:rsidR="002960A3">
        <w:rPr>
          <w:rFonts w:ascii="Calibri" w:hAnsi="Calibri" w:cs="Calibri"/>
          <w:sz w:val="22"/>
          <w:szCs w:val="22"/>
        </w:rPr>
        <w:t>PROSPECTUS</w:t>
      </w:r>
      <w:r w:rsidRPr="002960A3">
        <w:rPr>
          <w:rFonts w:ascii="Calibri" w:hAnsi="Calibri" w:cs="Calibri"/>
          <w:sz w:val="22"/>
          <w:szCs w:val="22"/>
        </w:rPr>
        <w:t>, DOCUMENT OR INFORMATION RELATING TO THE FUND.</w:t>
      </w:r>
      <w:r w:rsidR="002960A3" w:rsidRPr="002960A3">
        <w:rPr>
          <w:rFonts w:ascii="Calibri" w:hAnsi="Calibri" w:cs="Calibri"/>
          <w:sz w:val="22"/>
          <w:szCs w:val="22"/>
        </w:rPr>
        <w:t xml:space="preserve"> </w:t>
      </w:r>
      <w:r w:rsidRPr="002960A3">
        <w:rPr>
          <w:rFonts w:ascii="Calibri" w:hAnsi="Calibri" w:cs="Calibri"/>
          <w:sz w:val="22"/>
          <w:szCs w:val="22"/>
        </w:rPr>
        <w:t xml:space="preserve">ACCORDINGLY, NEITHER THE ADGM NOR THE FSRA HAS APPROVED THIS </w:t>
      </w:r>
      <w:r w:rsidR="002960A3">
        <w:rPr>
          <w:rFonts w:ascii="Calibri" w:hAnsi="Calibri" w:cs="Calibri"/>
          <w:sz w:val="22"/>
          <w:szCs w:val="22"/>
        </w:rPr>
        <w:t>PROSPECTUS</w:t>
      </w:r>
      <w:r w:rsidR="002960A3" w:rsidRPr="002960A3">
        <w:rPr>
          <w:rFonts w:ascii="Calibri" w:hAnsi="Calibri" w:cs="Calibri"/>
          <w:sz w:val="22"/>
          <w:szCs w:val="22"/>
        </w:rPr>
        <w:t xml:space="preserve"> </w:t>
      </w:r>
      <w:r w:rsidRPr="002960A3">
        <w:rPr>
          <w:rFonts w:ascii="Calibri" w:hAnsi="Calibri" w:cs="Calibri"/>
          <w:sz w:val="22"/>
          <w:szCs w:val="22"/>
        </w:rPr>
        <w:t>OR ANY OTHER</w:t>
      </w:r>
      <w:r w:rsidR="002960A3" w:rsidRPr="002960A3">
        <w:rPr>
          <w:rFonts w:ascii="Calibri" w:hAnsi="Calibri" w:cs="Calibri"/>
          <w:sz w:val="22"/>
          <w:szCs w:val="22"/>
        </w:rPr>
        <w:t xml:space="preserve"> </w:t>
      </w:r>
      <w:r w:rsidRPr="002960A3">
        <w:rPr>
          <w:rFonts w:ascii="Calibri" w:hAnsi="Calibri" w:cs="Calibri"/>
          <w:sz w:val="22"/>
          <w:szCs w:val="22"/>
        </w:rPr>
        <w:t xml:space="preserve">RELATED </w:t>
      </w:r>
      <w:r w:rsidRPr="002960A3">
        <w:rPr>
          <w:rFonts w:ascii="Calibri" w:hAnsi="Calibri" w:cs="Calibri"/>
          <w:sz w:val="22"/>
          <w:szCs w:val="22"/>
        </w:rPr>
        <w:lastRenderedPageBreak/>
        <w:t xml:space="preserve">DOCUMENT OR TAKEN ANY STEPS TO VERIFY THE INFORMATION SET OUT IN THIS </w:t>
      </w:r>
      <w:r w:rsidR="002960A3">
        <w:rPr>
          <w:rFonts w:ascii="Calibri" w:hAnsi="Calibri" w:cs="Calibri"/>
          <w:sz w:val="22"/>
          <w:szCs w:val="22"/>
        </w:rPr>
        <w:t>PROSPECTUS</w:t>
      </w:r>
      <w:r w:rsidR="002960A3" w:rsidRPr="002960A3">
        <w:rPr>
          <w:rFonts w:ascii="Calibri" w:hAnsi="Calibri" w:cs="Calibri"/>
          <w:sz w:val="22"/>
          <w:szCs w:val="22"/>
        </w:rPr>
        <w:t xml:space="preserve"> </w:t>
      </w:r>
      <w:r w:rsidRPr="002960A3">
        <w:rPr>
          <w:rFonts w:ascii="Calibri" w:hAnsi="Calibri" w:cs="Calibri"/>
          <w:sz w:val="22"/>
          <w:szCs w:val="22"/>
        </w:rPr>
        <w:t>AND HAS NO RESPONSIBILITY FOR IT.</w:t>
      </w:r>
      <w:r w:rsidR="002960A3" w:rsidRPr="002960A3">
        <w:rPr>
          <w:rFonts w:ascii="Calibri" w:hAnsi="Calibri" w:cs="Calibri"/>
          <w:sz w:val="22"/>
          <w:szCs w:val="22"/>
        </w:rPr>
        <w:t xml:space="preserve">  </w:t>
      </w:r>
      <w:r w:rsidRPr="002960A3">
        <w:rPr>
          <w:rFonts w:ascii="Calibri" w:hAnsi="Calibri" w:cs="Calibri"/>
          <w:sz w:val="22"/>
          <w:szCs w:val="22"/>
        </w:rPr>
        <w:t xml:space="preserve">THE </w:t>
      </w:r>
      <w:r w:rsidR="002960A3">
        <w:rPr>
          <w:rFonts w:ascii="Calibri" w:hAnsi="Calibri" w:cs="Calibri"/>
          <w:sz w:val="22"/>
          <w:szCs w:val="22"/>
        </w:rPr>
        <w:t>TOKENS</w:t>
      </w:r>
      <w:r w:rsidRPr="002960A3">
        <w:rPr>
          <w:rFonts w:ascii="Calibri" w:hAnsi="Calibri" w:cs="Calibri"/>
          <w:sz w:val="22"/>
          <w:szCs w:val="22"/>
        </w:rPr>
        <w:t xml:space="preserve"> MAY BE ILLIQUID AND SUBJECT TO RESTRICTIONS ON THEIR RESALE. PROSPECTIVE</w:t>
      </w:r>
      <w:r w:rsidR="002960A3" w:rsidRPr="002960A3">
        <w:rPr>
          <w:rFonts w:ascii="Calibri" w:hAnsi="Calibri" w:cs="Calibri"/>
          <w:sz w:val="22"/>
          <w:szCs w:val="22"/>
        </w:rPr>
        <w:t xml:space="preserve"> </w:t>
      </w:r>
      <w:r w:rsidRPr="002960A3">
        <w:rPr>
          <w:rFonts w:ascii="Calibri" w:hAnsi="Calibri" w:cs="Calibri"/>
          <w:sz w:val="22"/>
          <w:szCs w:val="22"/>
        </w:rPr>
        <w:t xml:space="preserve">PURCHASERS OF THE </w:t>
      </w:r>
      <w:r w:rsidR="002960A3">
        <w:rPr>
          <w:rFonts w:ascii="Calibri" w:hAnsi="Calibri" w:cs="Calibri"/>
          <w:sz w:val="22"/>
          <w:szCs w:val="22"/>
        </w:rPr>
        <w:t>TOKENS</w:t>
      </w:r>
      <w:r w:rsidRPr="002960A3">
        <w:rPr>
          <w:rFonts w:ascii="Calibri" w:hAnsi="Calibri" w:cs="Calibri"/>
          <w:sz w:val="22"/>
          <w:szCs w:val="22"/>
        </w:rPr>
        <w:t xml:space="preserve"> SHOULD CONDUCT THEIR OWN DUE DILIGENCE ON THE </w:t>
      </w:r>
      <w:r w:rsidR="002960A3">
        <w:rPr>
          <w:rFonts w:ascii="Calibri" w:hAnsi="Calibri" w:cs="Calibri"/>
          <w:sz w:val="22"/>
          <w:szCs w:val="22"/>
        </w:rPr>
        <w:t>TOKENS</w:t>
      </w:r>
      <w:r w:rsidRPr="002960A3">
        <w:rPr>
          <w:rFonts w:ascii="Calibri" w:hAnsi="Calibri" w:cs="Calibri"/>
          <w:sz w:val="22"/>
          <w:szCs w:val="22"/>
        </w:rPr>
        <w:t>.</w:t>
      </w:r>
      <w:r w:rsidR="002960A3" w:rsidRPr="002960A3">
        <w:rPr>
          <w:rFonts w:ascii="Calibri" w:hAnsi="Calibri" w:cs="Calibri"/>
          <w:sz w:val="22"/>
          <w:szCs w:val="22"/>
        </w:rPr>
        <w:t xml:space="preserve"> </w:t>
      </w:r>
      <w:r w:rsidRPr="002960A3">
        <w:rPr>
          <w:rFonts w:ascii="Calibri" w:hAnsi="Calibri" w:cs="Calibri"/>
          <w:sz w:val="22"/>
          <w:szCs w:val="22"/>
        </w:rPr>
        <w:t xml:space="preserve">IF YOU DO NOT UNDERSTAND THE CONTENTS OF THIS </w:t>
      </w:r>
      <w:r w:rsidR="002960A3">
        <w:rPr>
          <w:rFonts w:ascii="Calibri" w:hAnsi="Calibri" w:cs="Calibri"/>
          <w:sz w:val="22"/>
          <w:szCs w:val="22"/>
        </w:rPr>
        <w:t>PROSPECTUS</w:t>
      </w:r>
      <w:r w:rsidRPr="002960A3">
        <w:rPr>
          <w:rFonts w:ascii="Calibri" w:hAnsi="Calibri" w:cs="Calibri"/>
          <w:sz w:val="22"/>
          <w:szCs w:val="22"/>
        </w:rPr>
        <w:t>, YOU SHOULD CONSULT AN AUTHORIZED</w:t>
      </w:r>
      <w:r w:rsidR="002960A3" w:rsidRPr="002960A3">
        <w:rPr>
          <w:rFonts w:ascii="Calibri" w:hAnsi="Calibri" w:cs="Calibri"/>
          <w:sz w:val="22"/>
          <w:szCs w:val="22"/>
        </w:rPr>
        <w:t xml:space="preserve"> </w:t>
      </w:r>
      <w:r w:rsidRPr="002960A3">
        <w:rPr>
          <w:rFonts w:ascii="Calibri" w:hAnsi="Calibri" w:cs="Calibri"/>
          <w:sz w:val="22"/>
          <w:szCs w:val="22"/>
        </w:rPr>
        <w:t>FINANCIAL ADVISOR.</w:t>
      </w:r>
      <w:r w:rsidR="002960A3" w:rsidRPr="002960A3">
        <w:rPr>
          <w:rFonts w:ascii="Calibri" w:hAnsi="Calibri" w:cs="Calibri"/>
          <w:sz w:val="22"/>
          <w:szCs w:val="22"/>
        </w:rPr>
        <w:t xml:space="preserve"> </w:t>
      </w:r>
    </w:p>
    <w:p w14:paraId="27D692EF" w14:textId="77777777" w:rsidR="002960A3" w:rsidRPr="002960A3" w:rsidRDefault="002960A3" w:rsidP="002960A3">
      <w:pPr>
        <w:autoSpaceDE w:val="0"/>
        <w:autoSpaceDN w:val="0"/>
        <w:adjustRightInd w:val="0"/>
        <w:spacing w:line="240" w:lineRule="auto"/>
        <w:rPr>
          <w:rFonts w:ascii="Calibri" w:hAnsi="Calibri" w:cs="Calibri"/>
          <w:sz w:val="22"/>
          <w:szCs w:val="22"/>
        </w:rPr>
      </w:pPr>
    </w:p>
    <w:p w14:paraId="3D6F3969" w14:textId="77F43D3A" w:rsidR="006C6B7E" w:rsidRPr="002960A3" w:rsidRDefault="006C6B7E" w:rsidP="002960A3">
      <w:pPr>
        <w:autoSpaceDE w:val="0"/>
        <w:autoSpaceDN w:val="0"/>
        <w:adjustRightInd w:val="0"/>
        <w:spacing w:line="240" w:lineRule="auto"/>
        <w:rPr>
          <w:rFonts w:ascii="Calibri" w:hAnsi="Calibri" w:cs="Calibri"/>
          <w:b/>
          <w:bCs/>
          <w:sz w:val="22"/>
          <w:szCs w:val="22"/>
        </w:rPr>
      </w:pPr>
      <w:r w:rsidRPr="002960A3">
        <w:rPr>
          <w:rFonts w:ascii="Calibri" w:hAnsi="Calibri" w:cs="Calibri"/>
          <w:sz w:val="22"/>
          <w:szCs w:val="22"/>
        </w:rPr>
        <w:t xml:space="preserve">THIS </w:t>
      </w:r>
      <w:r w:rsidR="002960A3">
        <w:rPr>
          <w:rFonts w:ascii="Calibri" w:hAnsi="Calibri" w:cs="Calibri"/>
          <w:sz w:val="22"/>
          <w:szCs w:val="22"/>
        </w:rPr>
        <w:t>PROSPECTUS</w:t>
      </w:r>
      <w:r w:rsidR="002960A3" w:rsidRPr="002960A3">
        <w:rPr>
          <w:rFonts w:ascii="Calibri" w:hAnsi="Calibri" w:cs="Calibri"/>
          <w:sz w:val="22"/>
          <w:szCs w:val="22"/>
        </w:rPr>
        <w:t xml:space="preserve"> </w:t>
      </w:r>
      <w:r w:rsidRPr="002960A3">
        <w:rPr>
          <w:rFonts w:ascii="Calibri" w:hAnsi="Calibri" w:cs="Calibri"/>
          <w:sz w:val="22"/>
          <w:szCs w:val="22"/>
        </w:rPr>
        <w:t>IS INTENDED ONLY FOR PROSPECTIVE INVESTORS WHO: (A) ARE ‘PROFESSIONAL</w:t>
      </w:r>
      <w:r w:rsidR="002960A3" w:rsidRPr="002960A3">
        <w:rPr>
          <w:rFonts w:ascii="Calibri" w:hAnsi="Calibri" w:cs="Calibri"/>
          <w:sz w:val="22"/>
          <w:szCs w:val="22"/>
        </w:rPr>
        <w:t xml:space="preserve"> </w:t>
      </w:r>
      <w:r w:rsidRPr="002960A3">
        <w:rPr>
          <w:rFonts w:ascii="Calibri" w:hAnsi="Calibri" w:cs="Calibri"/>
          <w:sz w:val="22"/>
          <w:szCs w:val="22"/>
        </w:rPr>
        <w:t>CLIENTS’ FOR THE PURPOSES OF, AND AS DEFINED IN, THE FSRA RULES AND THE FSRA CONDUCT</w:t>
      </w:r>
      <w:r w:rsidR="002960A3" w:rsidRPr="002960A3">
        <w:rPr>
          <w:rFonts w:ascii="Calibri" w:hAnsi="Calibri" w:cs="Calibri"/>
          <w:sz w:val="22"/>
          <w:szCs w:val="22"/>
        </w:rPr>
        <w:t xml:space="preserve"> </w:t>
      </w:r>
      <w:r w:rsidRPr="002960A3">
        <w:rPr>
          <w:rFonts w:ascii="Calibri" w:hAnsi="Calibri" w:cs="Calibri"/>
          <w:sz w:val="22"/>
          <w:szCs w:val="22"/>
        </w:rPr>
        <w:t>OF BUSINESS SOURCEBOOK AND (B) CAN MAKE A MINIMUM SUBSCRIPTION OF AT LEAST US$50,000 AS</w:t>
      </w:r>
      <w:r w:rsidR="002960A3" w:rsidRPr="002960A3">
        <w:rPr>
          <w:rFonts w:ascii="Calibri" w:hAnsi="Calibri" w:cs="Calibri"/>
          <w:sz w:val="22"/>
          <w:szCs w:val="22"/>
        </w:rPr>
        <w:t xml:space="preserve"> </w:t>
      </w:r>
      <w:r w:rsidRPr="002960A3">
        <w:rPr>
          <w:rFonts w:ascii="Calibri" w:hAnsi="Calibri" w:cs="Calibri"/>
          <w:sz w:val="22"/>
          <w:szCs w:val="22"/>
        </w:rPr>
        <w:t xml:space="preserve">SPECIFIED IN THE </w:t>
      </w:r>
      <w:r w:rsidR="002960A3">
        <w:rPr>
          <w:rFonts w:ascii="Calibri" w:hAnsi="Calibri" w:cs="Calibri"/>
          <w:sz w:val="22"/>
          <w:szCs w:val="22"/>
        </w:rPr>
        <w:t>FSRA</w:t>
      </w:r>
      <w:r w:rsidRPr="002960A3">
        <w:rPr>
          <w:rFonts w:ascii="Calibri" w:hAnsi="Calibri" w:cs="Calibri"/>
          <w:sz w:val="22"/>
          <w:szCs w:val="22"/>
        </w:rPr>
        <w:t xml:space="preserve"> RULES, AND MUST NOT THEREFORE BE DELIVERED TO, OR RELIED ON BY (I)</w:t>
      </w:r>
      <w:r w:rsidR="002960A3" w:rsidRPr="002960A3">
        <w:rPr>
          <w:rFonts w:ascii="Calibri" w:hAnsi="Calibri" w:cs="Calibri"/>
          <w:sz w:val="22"/>
          <w:szCs w:val="22"/>
        </w:rPr>
        <w:t xml:space="preserve"> </w:t>
      </w:r>
      <w:r w:rsidRPr="002960A3">
        <w:rPr>
          <w:rFonts w:ascii="Calibri" w:hAnsi="Calibri" w:cs="Calibri"/>
          <w:sz w:val="22"/>
          <w:szCs w:val="22"/>
        </w:rPr>
        <w:t xml:space="preserve">A POTENTIAL INVESTOR WHO IS A ‘RETAIL CLIENT’ FOR THE PURPOSES OF, AND AS DEFINED IN, THE </w:t>
      </w:r>
      <w:r w:rsidR="002960A3">
        <w:rPr>
          <w:rFonts w:ascii="Calibri" w:hAnsi="Calibri" w:cs="Calibri"/>
          <w:sz w:val="22"/>
          <w:szCs w:val="22"/>
        </w:rPr>
        <w:t>FSRA</w:t>
      </w:r>
      <w:r w:rsidRPr="002960A3">
        <w:rPr>
          <w:rFonts w:ascii="Calibri" w:hAnsi="Calibri" w:cs="Calibri"/>
          <w:sz w:val="22"/>
          <w:szCs w:val="22"/>
        </w:rPr>
        <w:t xml:space="preserve"> RULES AND THE ADGM CONDUCT OF BUSINESS SOURCEBOOK, OR (II) A PROFESSIONAL CLIENT NOT</w:t>
      </w:r>
      <w:r w:rsidR="002960A3" w:rsidRPr="002960A3">
        <w:rPr>
          <w:rFonts w:ascii="Calibri" w:hAnsi="Calibri" w:cs="Calibri"/>
          <w:sz w:val="22"/>
          <w:szCs w:val="22"/>
        </w:rPr>
        <w:t xml:space="preserve"> </w:t>
      </w:r>
      <w:r w:rsidRPr="002960A3">
        <w:rPr>
          <w:rFonts w:ascii="Calibri" w:hAnsi="Calibri" w:cs="Calibri"/>
          <w:sz w:val="22"/>
          <w:szCs w:val="22"/>
        </w:rPr>
        <w:t>ABLE TO MAKE SUCH MINIMUM SUBSCRIPTION.</w:t>
      </w:r>
    </w:p>
    <w:sectPr w:rsidR="006C6B7E" w:rsidRPr="002960A3" w:rsidSect="0070389B">
      <w:pgSz w:w="11906" w:h="16838" w:code="9"/>
      <w:pgMar w:top="1134" w:right="1418" w:bottom="1134" w:left="1418" w:header="567" w:footer="425"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5EBEC" w14:textId="77777777" w:rsidR="00A962CC" w:rsidRDefault="00A962CC" w:rsidP="00626280">
      <w:r>
        <w:separator/>
      </w:r>
    </w:p>
  </w:endnote>
  <w:endnote w:type="continuationSeparator" w:id="0">
    <w:p w14:paraId="45E4CA24" w14:textId="77777777" w:rsidR="00A962CC" w:rsidRDefault="00A962CC" w:rsidP="0062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71BA9" w14:textId="77777777" w:rsidR="0090550C" w:rsidRDefault="00905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262905"/>
      <w:docPartObj>
        <w:docPartGallery w:val="Page Numbers (Bottom of Page)"/>
        <w:docPartUnique/>
      </w:docPartObj>
    </w:sdtPr>
    <w:sdtEndPr>
      <w:rPr>
        <w:rFonts w:ascii="Calibri" w:hAnsi="Calibri" w:cs="Calibri"/>
        <w:noProof/>
        <w:sz w:val="18"/>
        <w:szCs w:val="18"/>
      </w:rPr>
    </w:sdtEndPr>
    <w:sdtContent>
      <w:p w14:paraId="1F8E3707" w14:textId="5ED30B07" w:rsidR="00274F95" w:rsidRPr="00274F95" w:rsidRDefault="00274F95">
        <w:pPr>
          <w:pStyle w:val="Footer"/>
          <w:jc w:val="center"/>
          <w:rPr>
            <w:rFonts w:ascii="Calibri" w:hAnsi="Calibri" w:cs="Calibri"/>
            <w:sz w:val="18"/>
            <w:szCs w:val="18"/>
          </w:rPr>
        </w:pPr>
        <w:r w:rsidRPr="00274F95">
          <w:rPr>
            <w:rFonts w:ascii="Calibri" w:hAnsi="Calibri" w:cs="Calibri"/>
            <w:sz w:val="18"/>
            <w:szCs w:val="18"/>
          </w:rPr>
          <w:fldChar w:fldCharType="begin"/>
        </w:r>
        <w:r w:rsidRPr="00274F95">
          <w:rPr>
            <w:rFonts w:ascii="Calibri" w:hAnsi="Calibri" w:cs="Calibri"/>
            <w:sz w:val="18"/>
            <w:szCs w:val="18"/>
          </w:rPr>
          <w:instrText xml:space="preserve"> PAGE   \* MERGEFORMAT </w:instrText>
        </w:r>
        <w:r w:rsidRPr="00274F95">
          <w:rPr>
            <w:rFonts w:ascii="Calibri" w:hAnsi="Calibri" w:cs="Calibri"/>
            <w:sz w:val="18"/>
            <w:szCs w:val="18"/>
          </w:rPr>
          <w:fldChar w:fldCharType="separate"/>
        </w:r>
        <w:r w:rsidRPr="00274F95">
          <w:rPr>
            <w:rFonts w:ascii="Calibri" w:hAnsi="Calibri" w:cs="Calibri"/>
            <w:noProof/>
            <w:sz w:val="18"/>
            <w:szCs w:val="18"/>
          </w:rPr>
          <w:t>2</w:t>
        </w:r>
        <w:r w:rsidRPr="00274F95">
          <w:rPr>
            <w:rFonts w:ascii="Calibri" w:hAnsi="Calibri" w:cs="Calibri"/>
            <w:noProof/>
            <w:sz w:val="18"/>
            <w:szCs w:val="18"/>
          </w:rPr>
          <w:fldChar w:fldCharType="end"/>
        </w:r>
      </w:p>
    </w:sdtContent>
  </w:sdt>
  <w:p w14:paraId="65D22D39" w14:textId="4372A0C3" w:rsidR="00626280" w:rsidRDefault="00626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2D73C" w14:textId="77777777" w:rsidR="0090550C" w:rsidRDefault="009055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7972E" w14:textId="234C8D38" w:rsidR="00A51204" w:rsidRPr="00F7715E" w:rsidRDefault="00000000" w:rsidP="007D10E6">
    <w:pPr>
      <w:pStyle w:val="Footer"/>
    </w:pPr>
    <w:sdt>
      <w:sdtPr>
        <w:rPr>
          <w:rStyle w:val="FooterChar"/>
        </w:rPr>
        <w:alias w:val="Document Reference"/>
        <w:tag w:val="Document Reference"/>
        <w:id w:val="394630959"/>
        <w:text/>
      </w:sdtPr>
      <w:sdtContent>
        <w:r w:rsidR="001735DD">
          <w:rPr>
            <w:rStyle w:val="FooterChar"/>
          </w:rPr>
          <w:t>10-83279505-8\402553-2</w:t>
        </w:r>
      </w:sdtContent>
    </w:sdt>
    <w:r w:rsidR="00A51204" w:rsidRPr="00F7715E">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138621"/>
      <w:docPartObj>
        <w:docPartGallery w:val="Page Numbers (Bottom of Page)"/>
        <w:docPartUnique/>
      </w:docPartObj>
    </w:sdtPr>
    <w:sdtEndPr>
      <w:rPr>
        <w:noProof/>
        <w:sz w:val="16"/>
        <w:szCs w:val="16"/>
      </w:rPr>
    </w:sdtEndPr>
    <w:sdtContent>
      <w:p w14:paraId="3A48A8D4" w14:textId="427B9D49" w:rsidR="00AA6D41" w:rsidRPr="000B5517" w:rsidRDefault="00AA6D41">
        <w:pPr>
          <w:pStyle w:val="Footer"/>
          <w:jc w:val="center"/>
          <w:rPr>
            <w:sz w:val="16"/>
            <w:szCs w:val="16"/>
          </w:rPr>
        </w:pPr>
        <w:r w:rsidRPr="000B5517">
          <w:rPr>
            <w:sz w:val="16"/>
            <w:szCs w:val="16"/>
          </w:rPr>
          <w:fldChar w:fldCharType="begin"/>
        </w:r>
        <w:r w:rsidRPr="000B5517">
          <w:rPr>
            <w:sz w:val="16"/>
            <w:szCs w:val="16"/>
          </w:rPr>
          <w:instrText xml:space="preserve"> PAGE   \* MERGEFORMAT </w:instrText>
        </w:r>
        <w:r w:rsidRPr="000B5517">
          <w:rPr>
            <w:sz w:val="16"/>
            <w:szCs w:val="16"/>
          </w:rPr>
          <w:fldChar w:fldCharType="separate"/>
        </w:r>
        <w:r w:rsidRPr="000B5517">
          <w:rPr>
            <w:noProof/>
            <w:sz w:val="16"/>
            <w:szCs w:val="16"/>
          </w:rPr>
          <w:t>2</w:t>
        </w:r>
        <w:r w:rsidRPr="000B5517">
          <w:rPr>
            <w:noProof/>
            <w:sz w:val="16"/>
            <w:szCs w:val="16"/>
          </w:rPr>
          <w:fldChar w:fldCharType="end"/>
        </w:r>
      </w:p>
    </w:sdtContent>
  </w:sdt>
  <w:p w14:paraId="6C22B5CE" w14:textId="3C8AF793" w:rsidR="005B25DB" w:rsidRDefault="005B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9799A" w14:textId="77777777" w:rsidR="00A962CC" w:rsidRDefault="00A962CC" w:rsidP="00626280">
      <w:r>
        <w:separator/>
      </w:r>
    </w:p>
  </w:footnote>
  <w:footnote w:type="continuationSeparator" w:id="0">
    <w:p w14:paraId="1B26E573" w14:textId="77777777" w:rsidR="00A962CC" w:rsidRDefault="00A962CC" w:rsidP="00626280">
      <w:r>
        <w:continuationSeparator/>
      </w:r>
    </w:p>
  </w:footnote>
  <w:footnote w:id="1">
    <w:p w14:paraId="4DE994A0" w14:textId="77777777" w:rsidR="00153DFE" w:rsidRDefault="00153DFE" w:rsidP="00153DFE">
      <w:pPr>
        <w:ind w:left="720" w:hanging="720"/>
        <w:rPr>
          <w:color w:val="000000"/>
          <w:sz w:val="16"/>
          <w:szCs w:val="16"/>
        </w:rPr>
      </w:pPr>
      <w:r>
        <w:rPr>
          <w:rStyle w:val="FootnoteReference"/>
        </w:rPr>
        <w:footnoteRef/>
      </w:r>
      <w:r>
        <w:rPr>
          <w:color w:val="000000"/>
          <w:sz w:val="16"/>
          <w:szCs w:val="16"/>
        </w:rPr>
        <w:t xml:space="preserve"> https://www.chainalysis.com/</w:t>
      </w:r>
    </w:p>
  </w:footnote>
  <w:footnote w:id="2">
    <w:p w14:paraId="735A02B5" w14:textId="0C766E6C" w:rsidR="003C7E15" w:rsidRDefault="003C7E15" w:rsidP="003C7E15">
      <w:pPr>
        <w:ind w:left="720" w:hanging="720"/>
        <w:rPr>
          <w:color w:val="000000"/>
          <w:sz w:val="16"/>
          <w:szCs w:val="16"/>
        </w:rPr>
      </w:pPr>
      <w:r>
        <w:rPr>
          <w:rStyle w:val="FootnoteReference"/>
        </w:rPr>
        <w:footnoteRef/>
      </w:r>
      <w:r>
        <w:rPr>
          <w:color w:val="000000"/>
          <w:sz w:val="16"/>
          <w:szCs w:val="16"/>
        </w:rPr>
        <w:t xml:space="preserve"> FSRA Guidance – Regulation of Digital Securities Activities in ADGM (dated 24 February 2020), page 24, paragraph 99 – 119.</w:t>
      </w:r>
    </w:p>
  </w:footnote>
  <w:footnote w:id="3">
    <w:p w14:paraId="4F2D5AE6" w14:textId="77777777" w:rsidR="006A1543" w:rsidRDefault="006A1543" w:rsidP="006A1543">
      <w:pPr>
        <w:ind w:left="720" w:hanging="720"/>
        <w:rPr>
          <w:color w:val="000000"/>
          <w:sz w:val="16"/>
          <w:szCs w:val="16"/>
        </w:rPr>
      </w:pPr>
      <w:r>
        <w:rPr>
          <w:rStyle w:val="FootnoteReference"/>
        </w:rPr>
        <w:footnoteRef/>
      </w:r>
      <w:r>
        <w:rPr>
          <w:color w:val="000000"/>
          <w:sz w:val="16"/>
          <w:szCs w:val="16"/>
        </w:rPr>
        <w:t xml:space="preserve"> https://www.chainalysis.com/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FA94" w14:textId="77777777" w:rsidR="0090550C" w:rsidRDefault="00905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84AC" w14:textId="77777777" w:rsidR="0090550C" w:rsidRDefault="00905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71B66" w14:textId="77777777" w:rsidR="0090550C" w:rsidRDefault="009055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33CD" w14:textId="651944EB" w:rsidR="005B25DB" w:rsidRPr="005B25DB" w:rsidRDefault="005B25DB" w:rsidP="005B2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129"/>
    <w:multiLevelType w:val="multilevel"/>
    <w:tmpl w:val="D6F8960E"/>
    <w:styleLink w:val="NumberingSchedulesHeadings"/>
    <w:lvl w:ilvl="0">
      <w:start w:val="1"/>
      <w:numFmt w:val="decimal"/>
      <w:pStyle w:val="Schedule"/>
      <w:suff w:val="nothing"/>
      <w:lvlText w:val="Schedule %1"/>
      <w:lvlJc w:val="left"/>
      <w:pPr>
        <w:ind w:left="0" w:firstLine="0"/>
      </w:pPr>
      <w:rPr>
        <w:rFonts w:hint="default"/>
      </w:rPr>
    </w:lvl>
    <w:lvl w:ilvl="1">
      <w:start w:val="1"/>
      <w:numFmt w:val="decimal"/>
      <w:pStyle w:val="Schedule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4DF0137"/>
    <w:multiLevelType w:val="multilevel"/>
    <w:tmpl w:val="48A2CC64"/>
    <w:styleLink w:val="NumberingNotes"/>
    <w:lvl w:ilvl="0">
      <w:start w:val="1"/>
      <w:numFmt w:val="decimal"/>
      <w:pStyle w:val="Note1"/>
      <w:lvlText w:val="%1."/>
      <w:lvlJc w:val="left"/>
      <w:pPr>
        <w:tabs>
          <w:tab w:val="num" w:pos="720"/>
        </w:tabs>
        <w:ind w:left="720" w:hanging="720"/>
      </w:pPr>
      <w:rPr>
        <w:rFonts w:ascii="Calibri" w:hAnsi="Calibri" w:hint="default"/>
        <w:b w:val="0"/>
        <w:i w:val="0"/>
        <w:sz w:val="22"/>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9D6EE3"/>
    <w:multiLevelType w:val="hybridMultilevel"/>
    <w:tmpl w:val="9CA045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5667A6"/>
    <w:multiLevelType w:val="multilevel"/>
    <w:tmpl w:val="7FA43F72"/>
    <w:styleLink w:val="NumberingMain"/>
    <w:lvl w:ilvl="0">
      <w:start w:val="1"/>
      <w:numFmt w:val="upperRoman"/>
      <w:pStyle w:val="Level1Heading"/>
      <w:lvlText w:val="%1"/>
      <w:lvlJc w:val="left"/>
      <w:pPr>
        <w:tabs>
          <w:tab w:val="num" w:pos="720"/>
        </w:tabs>
        <w:ind w:left="720" w:hanging="720"/>
      </w:pPr>
      <w:rPr>
        <w:rFonts w:hint="default"/>
      </w:rPr>
    </w:lvl>
    <w:lvl w:ilvl="1">
      <w:start w:val="1"/>
      <w:numFmt w:val="decimal"/>
      <w:pStyle w:val="Level2Number"/>
      <w:isLgl/>
      <w:lvlText w:val="%2"/>
      <w:lvlJc w:val="left"/>
      <w:pPr>
        <w:tabs>
          <w:tab w:val="num" w:pos="720"/>
        </w:tabs>
        <w:ind w:left="720" w:hanging="720"/>
      </w:pPr>
      <w:rPr>
        <w:rFonts w:hint="default"/>
        <w:b w:val="0"/>
        <w:i w:val="0"/>
      </w:rPr>
    </w:lvl>
    <w:lvl w:ilvl="2">
      <w:start w:val="1"/>
      <w:numFmt w:val="decimal"/>
      <w:pStyle w:val="Level3Number"/>
      <w:lvlText w:val="%2.%3"/>
      <w:lvlJc w:val="left"/>
      <w:pPr>
        <w:tabs>
          <w:tab w:val="num" w:pos="720"/>
        </w:tabs>
        <w:ind w:left="720" w:hanging="720"/>
      </w:pPr>
      <w:rPr>
        <w:rFonts w:hint="default"/>
        <w:b w:val="0"/>
        <w:i w:val="0"/>
      </w:rPr>
    </w:lvl>
    <w:lvl w:ilvl="3">
      <w:start w:val="1"/>
      <w:numFmt w:val="lowerLetter"/>
      <w:pStyle w:val="Level4Number"/>
      <w:lvlText w:val="(%4)"/>
      <w:lvlJc w:val="left"/>
      <w:pPr>
        <w:tabs>
          <w:tab w:val="num" w:pos="1440"/>
        </w:tabs>
        <w:ind w:left="1440" w:hanging="720"/>
      </w:pPr>
      <w:rPr>
        <w:rFonts w:hint="default"/>
        <w:b w:val="0"/>
        <w:i w:val="0"/>
      </w:rPr>
    </w:lvl>
    <w:lvl w:ilvl="4">
      <w:start w:val="1"/>
      <w:numFmt w:val="lowerRoman"/>
      <w:pStyle w:val="Level5Number"/>
      <w:lvlText w:val="(%5)"/>
      <w:lvlJc w:val="left"/>
      <w:pPr>
        <w:tabs>
          <w:tab w:val="num" w:pos="2160"/>
        </w:tabs>
        <w:ind w:left="2160" w:hanging="720"/>
      </w:pPr>
      <w:rPr>
        <w:rFonts w:hint="default"/>
        <w:b w:val="0"/>
        <w:i w:val="0"/>
      </w:rPr>
    </w:lvl>
    <w:lvl w:ilvl="5">
      <w:start w:val="1"/>
      <w:numFmt w:val="upperLetter"/>
      <w:pStyle w:val="Level6Number"/>
      <w:lvlText w:val="(%6)"/>
      <w:lvlJc w:val="left"/>
      <w:pPr>
        <w:tabs>
          <w:tab w:val="num" w:pos="2880"/>
        </w:tabs>
        <w:ind w:left="288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5B03C9"/>
    <w:multiLevelType w:val="multilevel"/>
    <w:tmpl w:val="62FA6FC8"/>
    <w:styleLink w:val="AppendixNumbering"/>
    <w:lvl w:ilvl="0">
      <w:start w:val="1"/>
      <w:numFmt w:val="none"/>
      <w:pStyle w:val="AppendixSub"/>
      <w:suff w:val="nothing"/>
      <w:lvlText w:val=""/>
      <w:lvlJc w:val="left"/>
      <w:pPr>
        <w:ind w:left="0" w:firstLine="0"/>
      </w:pPr>
      <w:rPr>
        <w:rFonts w:hint="default"/>
      </w:rPr>
    </w:lvl>
    <w:lvl w:ilvl="1">
      <w:start w:val="1"/>
      <w:numFmt w:val="decimal"/>
      <w:pStyle w:val="Appendix1Heading"/>
      <w:lvlText w:val="%2"/>
      <w:lvlJc w:val="left"/>
      <w:pPr>
        <w:tabs>
          <w:tab w:val="num" w:pos="720"/>
        </w:tabs>
        <w:ind w:left="720" w:hanging="720"/>
      </w:pPr>
      <w:rPr>
        <w:rFonts w:hint="default"/>
      </w:rPr>
    </w:lvl>
    <w:lvl w:ilvl="2">
      <w:start w:val="1"/>
      <w:numFmt w:val="decimal"/>
      <w:pStyle w:val="Appendix2Number"/>
      <w:lvlText w:val="%2.%3"/>
      <w:lvlJc w:val="left"/>
      <w:pPr>
        <w:tabs>
          <w:tab w:val="num" w:pos="720"/>
        </w:tabs>
        <w:ind w:left="720" w:hanging="720"/>
      </w:pPr>
      <w:rPr>
        <w:rFonts w:hint="default"/>
        <w:b w:val="0"/>
        <w:i w:val="0"/>
      </w:rPr>
    </w:lvl>
    <w:lvl w:ilvl="3">
      <w:start w:val="1"/>
      <w:numFmt w:val="lowerLetter"/>
      <w:pStyle w:val="Appendix3Number"/>
      <w:lvlText w:val="(%4)"/>
      <w:lvlJc w:val="left"/>
      <w:pPr>
        <w:tabs>
          <w:tab w:val="num" w:pos="1440"/>
        </w:tabs>
        <w:ind w:left="1440" w:hanging="720"/>
      </w:pPr>
      <w:rPr>
        <w:rFonts w:hint="default"/>
        <w:b w:val="0"/>
        <w:i w:val="0"/>
      </w:rPr>
    </w:lvl>
    <w:lvl w:ilvl="4">
      <w:start w:val="1"/>
      <w:numFmt w:val="lowerRoman"/>
      <w:pStyle w:val="Appendix4Number"/>
      <w:lvlText w:val="(%5)"/>
      <w:lvlJc w:val="left"/>
      <w:pPr>
        <w:tabs>
          <w:tab w:val="num" w:pos="2160"/>
        </w:tabs>
        <w:ind w:left="2160" w:hanging="720"/>
      </w:pPr>
      <w:rPr>
        <w:rFonts w:hint="default"/>
        <w:b w:val="0"/>
        <w:i w:val="0"/>
      </w:rPr>
    </w:lvl>
    <w:lvl w:ilvl="5">
      <w:start w:val="1"/>
      <w:numFmt w:val="upperLetter"/>
      <w:pStyle w:val="Appendix5Number"/>
      <w:lvlText w:val="(%6)"/>
      <w:lvlJc w:val="left"/>
      <w:pPr>
        <w:tabs>
          <w:tab w:val="num" w:pos="2880"/>
        </w:tabs>
        <w:ind w:left="2880" w:hanging="720"/>
      </w:pPr>
      <w:rPr>
        <w:rFonts w:hint="default"/>
        <w:b w:val="0"/>
        <w:i w:val="0"/>
      </w:rPr>
    </w:lvl>
    <w:lvl w:ilvl="6">
      <w:start w:val="1"/>
      <w:numFmt w:val="decimal"/>
      <w:pStyle w:val="Appendix6Number"/>
      <w:lvlText w:val="%7)"/>
      <w:lvlJc w:val="left"/>
      <w:pPr>
        <w:tabs>
          <w:tab w:val="num" w:pos="3600"/>
        </w:tabs>
        <w:ind w:left="3600" w:hanging="720"/>
      </w:pPr>
      <w:rPr>
        <w:rFonts w:hint="default"/>
      </w:rPr>
    </w:lvl>
    <w:lvl w:ilvl="7">
      <w:start w:val="1"/>
      <w:numFmt w:val="lowerLetter"/>
      <w:pStyle w:val="Appendix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DCF74A2"/>
    <w:multiLevelType w:val="multilevel"/>
    <w:tmpl w:val="48DA4548"/>
    <w:styleLink w:val="NumberingPrecedentNotes"/>
    <w:lvl w:ilvl="0">
      <w:start w:val="1"/>
      <w:numFmt w:val="decimal"/>
      <w:pStyle w:val="PrecedentNotes1"/>
      <w:lvlText w:val="%1"/>
      <w:lvlJc w:val="left"/>
      <w:pPr>
        <w:tabs>
          <w:tab w:val="num" w:pos="720"/>
        </w:tabs>
        <w:ind w:left="720" w:hanging="720"/>
      </w:pPr>
      <w:rPr>
        <w:rFonts w:hint="default"/>
      </w:rPr>
    </w:lvl>
    <w:lvl w:ilvl="1">
      <w:start w:val="1"/>
      <w:numFmt w:val="lowerLetter"/>
      <w:pStyle w:val="PrecedentNotes2"/>
      <w:lvlText w:val="(%2)"/>
      <w:lvlJc w:val="left"/>
      <w:pPr>
        <w:tabs>
          <w:tab w:val="num" w:pos="1440"/>
        </w:tabs>
        <w:ind w:left="1440" w:hanging="720"/>
      </w:pPr>
      <w:rPr>
        <w:rFonts w:hint="default"/>
      </w:rPr>
    </w:lvl>
    <w:lvl w:ilvl="2">
      <w:start w:val="1"/>
      <w:numFmt w:val="lowerRoman"/>
      <w:pStyle w:val="PrecedentNotes3"/>
      <w:lvlText w:val="(%3)"/>
      <w:lvlJc w:val="left"/>
      <w:pPr>
        <w:tabs>
          <w:tab w:val="num" w:pos="2160"/>
        </w:tabs>
        <w:ind w:left="2160" w:hanging="720"/>
      </w:pPr>
      <w:rPr>
        <w:rFonts w:hint="default"/>
      </w:rPr>
    </w:lvl>
    <w:lvl w:ilvl="3">
      <w:start w:val="1"/>
      <w:numFmt w:val="upperLetter"/>
      <w:pStyle w:val="PrecedentNotes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1B4565D"/>
    <w:multiLevelType w:val="multilevel"/>
    <w:tmpl w:val="8D101528"/>
    <w:name w:val="zzmpScheme1||Scheme 1|2|1|1|1|0|32||1|4|32||1|4|32||1|4|32||1|4|32||1|4|32||1|4|32||1|4|32||1|4|32||"/>
    <w:lvl w:ilvl="0">
      <w:start w:val="1"/>
      <w:numFmt w:val="decimal"/>
      <w:pStyle w:val="Scheme1L1"/>
      <w:lvlText w:val="%1."/>
      <w:lvlJc w:val="left"/>
      <w:pPr>
        <w:tabs>
          <w:tab w:val="num" w:pos="720"/>
        </w:tabs>
        <w:ind w:left="720" w:hanging="720"/>
      </w:pPr>
      <w:rPr>
        <w:rFonts w:ascii="Times New Roman" w:hAnsi="Times New Roman" w:cs="Times New Roman" w:hint="default"/>
        <w:b/>
        <w:bCs w:val="0"/>
        <w:i w:val="0"/>
        <w:caps w:val="0"/>
        <w:smallCaps w:val="0"/>
        <w:strike w:val="0"/>
        <w:dstrike w:val="0"/>
        <w:vanish w:val="0"/>
        <w:sz w:val="24"/>
        <w:u w:val="none"/>
        <w:vertAlign w:val="baseline"/>
      </w:rPr>
    </w:lvl>
    <w:lvl w:ilvl="1">
      <w:start w:val="1"/>
      <w:numFmt w:val="decimal"/>
      <w:pStyle w:val="Scheme1L2"/>
      <w:lvlText w:val="%1.%2"/>
      <w:lvlJc w:val="left"/>
      <w:pPr>
        <w:tabs>
          <w:tab w:val="num" w:pos="1440"/>
        </w:tabs>
        <w:ind w:left="720" w:hanging="720"/>
      </w:pPr>
      <w:rPr>
        <w:rFonts w:ascii="Times New Roman" w:hAnsi="Times New Roman" w:cs="Times New Roman" w:hint="default"/>
        <w:b w:val="0"/>
        <w:i w:val="0"/>
        <w:caps w:val="0"/>
        <w:strike w:val="0"/>
        <w:dstrike w:val="0"/>
        <w:vanish w:val="0"/>
        <w:color w:val="auto"/>
        <w:sz w:val="22"/>
        <w:szCs w:val="22"/>
        <w:u w:val="none"/>
        <w:vertAlign w:val="baseline"/>
      </w:rPr>
    </w:lvl>
    <w:lvl w:ilvl="2">
      <w:start w:val="1"/>
      <w:numFmt w:val="lowerLetter"/>
      <w:pStyle w:val="Scheme1L3"/>
      <w:lvlText w:val="(%3)"/>
      <w:lvlJc w:val="left"/>
      <w:pPr>
        <w:tabs>
          <w:tab w:val="num" w:pos="2160"/>
        </w:tabs>
        <w:ind w:left="1440" w:hanging="720"/>
      </w:pPr>
      <w:rPr>
        <w:rFonts w:ascii="Times New Roman" w:hAnsi="Times New Roman" w:cs="Times New Roman" w:hint="default"/>
        <w:b w:val="0"/>
        <w:i w:val="0"/>
        <w:caps w:val="0"/>
        <w:strike w:val="0"/>
        <w:dstrike w:val="0"/>
        <w:vanish w:val="0"/>
        <w:sz w:val="24"/>
        <w:u w:val="none"/>
        <w:vertAlign w:val="baseline"/>
      </w:rPr>
    </w:lvl>
    <w:lvl w:ilvl="3">
      <w:start w:val="1"/>
      <w:numFmt w:val="lowerRoman"/>
      <w:pStyle w:val="Scheme1L4"/>
      <w:lvlText w:val="(%4)"/>
      <w:lvlJc w:val="left"/>
      <w:pPr>
        <w:tabs>
          <w:tab w:val="num" w:pos="2880"/>
        </w:tabs>
        <w:ind w:left="2160" w:hanging="720"/>
      </w:pPr>
      <w:rPr>
        <w:rFonts w:ascii="Calibri" w:hAnsi="Calibri" w:cs="Times New Roman" w:hint="default"/>
        <w:b w:val="0"/>
        <w:i w:val="0"/>
        <w:caps w:val="0"/>
        <w:u w:val="none"/>
      </w:rPr>
    </w:lvl>
    <w:lvl w:ilvl="4">
      <w:start w:val="1"/>
      <w:numFmt w:val="upperLetter"/>
      <w:pStyle w:val="Scheme1L5"/>
      <w:lvlText w:val="(%5)"/>
      <w:lvlJc w:val="left"/>
      <w:pPr>
        <w:tabs>
          <w:tab w:val="num" w:pos="3600"/>
        </w:tabs>
        <w:ind w:left="0" w:firstLine="2880"/>
      </w:pPr>
      <w:rPr>
        <w:rFonts w:ascii="Calibri" w:hAnsi="Calibri" w:cs="Times New Roman" w:hint="default"/>
        <w:b w:val="0"/>
        <w:i w:val="0"/>
        <w:caps w:val="0"/>
        <w:u w:val="none"/>
      </w:rPr>
    </w:lvl>
    <w:lvl w:ilvl="5">
      <w:start w:val="1"/>
      <w:numFmt w:val="upperRoman"/>
      <w:pStyle w:val="Scheme1L6"/>
      <w:lvlText w:val="(%6)"/>
      <w:lvlJc w:val="left"/>
      <w:pPr>
        <w:tabs>
          <w:tab w:val="num" w:pos="3600"/>
        </w:tabs>
        <w:ind w:left="0" w:firstLine="3600"/>
      </w:pPr>
      <w:rPr>
        <w:rFonts w:ascii="Calibri" w:hAnsi="Calibri" w:cs="Times New Roman" w:hint="default"/>
        <w:b w:val="0"/>
        <w:i w:val="0"/>
        <w:caps w:val="0"/>
        <w:u w:val="none"/>
      </w:rPr>
    </w:lvl>
    <w:lvl w:ilvl="6">
      <w:start w:val="1"/>
      <w:numFmt w:val="lowerRoman"/>
      <w:pStyle w:val="Scheme1L7"/>
      <w:lvlText w:val="(%7)"/>
      <w:lvlJc w:val="left"/>
      <w:pPr>
        <w:tabs>
          <w:tab w:val="num" w:pos="5040"/>
        </w:tabs>
        <w:ind w:left="0" w:firstLine="4320"/>
      </w:pPr>
      <w:rPr>
        <w:rFonts w:ascii="Calibri" w:hAnsi="Calibri" w:cs="Times New Roman" w:hint="default"/>
        <w:b w:val="0"/>
        <w:i w:val="0"/>
        <w:caps w:val="0"/>
        <w:u w:val="none"/>
      </w:rPr>
    </w:lvl>
    <w:lvl w:ilvl="7">
      <w:start w:val="1"/>
      <w:numFmt w:val="lowerLetter"/>
      <w:pStyle w:val="Scheme1L8"/>
      <w:lvlText w:val="(%8)"/>
      <w:lvlJc w:val="left"/>
      <w:pPr>
        <w:tabs>
          <w:tab w:val="num" w:pos="5760"/>
        </w:tabs>
        <w:ind w:left="0" w:firstLine="5040"/>
      </w:pPr>
      <w:rPr>
        <w:rFonts w:ascii="Calibri" w:hAnsi="Calibri" w:cs="Times New Roman" w:hint="default"/>
        <w:b w:val="0"/>
        <w:i w:val="0"/>
        <w:caps w:val="0"/>
        <w:u w:val="none"/>
      </w:rPr>
    </w:lvl>
    <w:lvl w:ilvl="8">
      <w:start w:val="1"/>
      <w:numFmt w:val="lowerRoman"/>
      <w:pStyle w:val="Scheme1L9"/>
      <w:lvlText w:val="(%9)"/>
      <w:lvlJc w:val="left"/>
      <w:pPr>
        <w:tabs>
          <w:tab w:val="num" w:pos="6480"/>
        </w:tabs>
        <w:ind w:left="0" w:firstLine="5760"/>
      </w:pPr>
      <w:rPr>
        <w:rFonts w:ascii="Calibri" w:hAnsi="Calibri" w:cs="Times New Roman" w:hint="default"/>
        <w:b w:val="0"/>
        <w:i w:val="0"/>
        <w:caps w:val="0"/>
        <w:u w:val="none"/>
      </w:rPr>
    </w:lvl>
  </w:abstractNum>
  <w:abstractNum w:abstractNumId="7" w15:restartNumberingAfterBreak="0">
    <w:nsid w:val="1215569C"/>
    <w:multiLevelType w:val="multilevel"/>
    <w:tmpl w:val="D6F8960E"/>
    <w:numStyleLink w:val="NumberingSchedulesHeadings"/>
  </w:abstractNum>
  <w:abstractNum w:abstractNumId="8" w15:restartNumberingAfterBreak="0">
    <w:nsid w:val="13265CED"/>
    <w:multiLevelType w:val="multilevel"/>
    <w:tmpl w:val="81809AC6"/>
    <w:styleLink w:val="TheAppendixList"/>
    <w:lvl w:ilvl="0">
      <w:start w:val="1"/>
      <w:numFmt w:val="none"/>
      <w:lvlText w:val="THE APPENDIX"/>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3710B5A"/>
    <w:multiLevelType w:val="multilevel"/>
    <w:tmpl w:val="48DA4548"/>
    <w:numStyleLink w:val="NumberingPrecedentNotes"/>
  </w:abstractNum>
  <w:abstractNum w:abstractNumId="10" w15:restartNumberingAfterBreak="0">
    <w:nsid w:val="1931280E"/>
    <w:multiLevelType w:val="hybridMultilevel"/>
    <w:tmpl w:val="51BCF56A"/>
    <w:lvl w:ilvl="0" w:tplc="D7429896">
      <w:start w:val="1"/>
      <w:numFmt w:val="decimal"/>
      <w:pStyle w:val="TOC8"/>
      <w:lvlText w:val="%1"/>
      <w:lvlJc w:val="left"/>
      <w:pPr>
        <w:ind w:left="36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1717B"/>
    <w:multiLevelType w:val="multilevel"/>
    <w:tmpl w:val="F2CC46F2"/>
    <w:numStyleLink w:val="NumberingTheSchedule"/>
  </w:abstractNum>
  <w:abstractNum w:abstractNumId="12" w15:restartNumberingAfterBreak="0">
    <w:nsid w:val="220F5217"/>
    <w:multiLevelType w:val="multilevel"/>
    <w:tmpl w:val="71C4F19E"/>
    <w:lvl w:ilvl="0">
      <w:start w:val="1"/>
      <w:numFmt w:val="decimal"/>
      <w:pStyle w:val="Non-Agreement1"/>
      <w:lvlText w:val="%1."/>
      <w:lvlJc w:val="left"/>
      <w:pPr>
        <w:tabs>
          <w:tab w:val="num" w:pos="0"/>
        </w:tabs>
        <w:ind w:left="720" w:hanging="720"/>
      </w:pPr>
      <w:rPr>
        <w:rFonts w:ascii="Times New Roman" w:hAnsi="Times New Roman" w:cs="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n-Agreement2"/>
      <w:isLgl/>
      <w:lvlText w:val="%1.%2"/>
      <w:lvlJc w:val="left"/>
      <w:pPr>
        <w:tabs>
          <w:tab w:val="num" w:pos="0"/>
        </w:tabs>
        <w:ind w:left="1440" w:hanging="720"/>
      </w:pPr>
      <w:rPr>
        <w:rFonts w:ascii="Arial" w:hAnsi="Arial" w:hint="default"/>
        <w:b w:val="0"/>
        <w:i w:val="0"/>
        <w:caps w:val="0"/>
        <w:strike w:val="0"/>
        <w:dstrike w:val="0"/>
        <w:vanish w:val="0"/>
        <w:color w:val="00000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on-Agreement3"/>
      <w:lvlText w:val="(%3)"/>
      <w:lvlJc w:val="left"/>
      <w:pPr>
        <w:tabs>
          <w:tab w:val="num" w:pos="0"/>
        </w:tabs>
        <w:ind w:left="2160" w:hanging="720"/>
      </w:pPr>
      <w:rPr>
        <w:rFonts w:ascii="Arial" w:hAnsi="Arial" w:hint="default"/>
        <w:b w:val="0"/>
        <w:i w:val="0"/>
        <w:caps w:val="0"/>
        <w:strike w:val="0"/>
        <w:dstrike w:val="0"/>
        <w:vanish w:val="0"/>
        <w:color w:val="00000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Non-Agreement4"/>
      <w:lvlText w:val="(%4)"/>
      <w:lvlJc w:val="left"/>
      <w:pPr>
        <w:tabs>
          <w:tab w:val="num" w:pos="0"/>
        </w:tabs>
        <w:ind w:left="2880" w:hanging="720"/>
      </w:pPr>
      <w:rPr>
        <w:rFonts w:ascii="Arial" w:hAnsi="Arial" w:hint="default"/>
        <w:b w:val="0"/>
        <w:i w:val="0"/>
        <w:caps w:val="0"/>
        <w:strike w:val="0"/>
        <w:dstrike w:val="0"/>
        <w:vanish w:val="0"/>
        <w:color w:val="00000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Non-Agreement1"/>
      <w:lvlText w:val="(%5)"/>
      <w:lvlJc w:val="left"/>
      <w:pPr>
        <w:tabs>
          <w:tab w:val="num" w:pos="0"/>
        </w:tabs>
        <w:ind w:left="3600" w:hanging="720"/>
      </w:pPr>
      <w:rPr>
        <w:rFonts w:ascii="Arial" w:hAnsi="Arial" w:hint="default"/>
        <w:b w:val="0"/>
        <w:i w:val="0"/>
        <w:caps w:val="0"/>
        <w:strike w:val="0"/>
        <w:dstrike w:val="0"/>
        <w:vanish w:val="0"/>
        <w:color w:val="00000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Non-Agreement2"/>
      <w:suff w:val="nothing"/>
      <w:lvlText w:val=""/>
      <w:lvlJc w:val="left"/>
      <w:pPr>
        <w:ind w:left="0" w:firstLine="0"/>
      </w:pPr>
      <w:rPr>
        <w:rFonts w:ascii="Arial" w:hAnsi="Arial" w:hint="default"/>
        <w:b w:val="0"/>
        <w:i w:val="0"/>
        <w:caps w:val="0"/>
        <w:strike w:val="0"/>
        <w:dstrike w:val="0"/>
        <w:vanish w:val="0"/>
        <w:color w:val="00000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Non-Agreement3"/>
      <w:suff w:val="nothing"/>
      <w:lvlText w:val=""/>
      <w:lvlJc w:val="left"/>
      <w:pPr>
        <w:ind w:left="0" w:firstLine="0"/>
      </w:pPr>
      <w:rPr>
        <w:rFonts w:ascii="Times New Roman" w:hAnsi="Times New Roman" w:hint="default"/>
        <w:b/>
        <w:i/>
        <w:caps/>
        <w:smallCaps w:val="0"/>
        <w:strike w:val="0"/>
        <w:dstrike/>
        <w:vanish/>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Non-Agreement4"/>
      <w:suff w:val="nothing"/>
      <w:lvlText w:val=""/>
      <w:lvlJc w:val="left"/>
      <w:pPr>
        <w:ind w:left="0" w:firstLine="0"/>
      </w:pPr>
      <w:rPr>
        <w:rFonts w:ascii="Times New Roman" w:hAnsi="Times New Roman" w:hint="default"/>
        <w:b/>
        <w:i/>
        <w:caps/>
        <w:smallCaps w:val="0"/>
        <w:strike w:val="0"/>
        <w:dstrike/>
        <w:vanish/>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hint="default"/>
        <w:b/>
        <w:i/>
        <w:caps/>
        <w:smallCaps w:val="0"/>
        <w:strike w:val="0"/>
        <w:dstrike/>
        <w:vanish/>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86278DA"/>
    <w:multiLevelType w:val="multilevel"/>
    <w:tmpl w:val="8AB0E290"/>
    <w:styleLink w:val="NumberingBullets"/>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Text w:val=""/>
      <w:lvlJc w:val="left"/>
      <w:pPr>
        <w:ind w:left="0" w:firstLine="0"/>
      </w:pPr>
      <w:rPr>
        <w:rFonts w:hint="default"/>
      </w:rPr>
    </w:lvl>
  </w:abstractNum>
  <w:abstractNum w:abstractNumId="14" w15:restartNumberingAfterBreak="0">
    <w:nsid w:val="28E211C8"/>
    <w:multiLevelType w:val="hybridMultilevel"/>
    <w:tmpl w:val="A802E5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B42231"/>
    <w:multiLevelType w:val="multilevel"/>
    <w:tmpl w:val="91D2A76E"/>
    <w:name w:val="NumberingBulletsMarketing"/>
    <w:lvl w:ilvl="0">
      <w:start w:val="1"/>
      <w:numFmt w:val="bullet"/>
      <w:lvlRestart w:val="0"/>
      <w:pStyle w:val="BulletsLevel1"/>
      <w:lvlText w:val="●"/>
      <w:lvlJc w:val="left"/>
      <w:pPr>
        <w:tabs>
          <w:tab w:val="num" w:pos="283"/>
        </w:tabs>
        <w:ind w:left="283" w:hanging="283"/>
      </w:pPr>
      <w:rPr>
        <w:rFonts w:ascii="Arial" w:hAnsi="Arial" w:cs="Arial"/>
        <w:b w:val="0"/>
        <w:i w:val="0"/>
        <w:color w:val="D58001"/>
        <w:sz w:val="18"/>
        <w:u w:val="none"/>
      </w:rPr>
    </w:lvl>
    <w:lvl w:ilvl="1">
      <w:start w:val="2"/>
      <w:numFmt w:val="bullet"/>
      <w:pStyle w:val="BulletsLevel2"/>
      <w:lvlText w:val="○"/>
      <w:lvlJc w:val="left"/>
      <w:pPr>
        <w:tabs>
          <w:tab w:val="num" w:pos="567"/>
        </w:tabs>
        <w:ind w:left="567" w:hanging="284"/>
      </w:pPr>
      <w:rPr>
        <w:rFonts w:ascii="Arial" w:hAnsi="Arial" w:cs="Arial"/>
        <w:b w:val="0"/>
        <w:i w:val="0"/>
        <w:color w:val="D58001"/>
        <w:sz w:val="18"/>
        <w:u w:val="none"/>
      </w:rPr>
    </w:lvl>
    <w:lvl w:ilvl="2">
      <w:start w:val="3"/>
      <w:numFmt w:val="bullet"/>
      <w:pStyle w:val="TableBullets1"/>
      <w:lvlText w:val="●"/>
      <w:lvlJc w:val="left"/>
      <w:pPr>
        <w:tabs>
          <w:tab w:val="num" w:pos="283"/>
        </w:tabs>
        <w:ind w:left="283" w:hanging="283"/>
      </w:pPr>
      <w:rPr>
        <w:rFonts w:ascii="Arial" w:hAnsi="Arial" w:cs="Arial"/>
        <w:b w:val="0"/>
        <w:i w:val="0"/>
        <w:color w:val="D58001"/>
        <w:sz w:val="18"/>
        <w:u w:val="none"/>
      </w:rPr>
    </w:lvl>
    <w:lvl w:ilvl="3">
      <w:start w:val="4"/>
      <w:numFmt w:val="bullet"/>
      <w:pStyle w:val="TableBullets2"/>
      <w:lvlText w:val="○"/>
      <w:lvlJc w:val="left"/>
      <w:pPr>
        <w:tabs>
          <w:tab w:val="num" w:pos="567"/>
        </w:tabs>
        <w:ind w:left="567" w:hanging="284"/>
      </w:pPr>
      <w:rPr>
        <w:rFonts w:ascii="Arial" w:hAnsi="Arial" w:cs="Arial"/>
        <w:b w:val="0"/>
        <w:i w:val="0"/>
        <w:color w:val="D58001"/>
        <w:sz w:val="18"/>
        <w:u w:val="none"/>
      </w:rPr>
    </w:lvl>
    <w:lvl w:ilvl="4">
      <w:start w:val="5"/>
      <w:numFmt w:val="bullet"/>
      <w:pStyle w:val="BackgroundBullets1"/>
      <w:lvlText w:val="●"/>
      <w:lvlJc w:val="left"/>
      <w:pPr>
        <w:tabs>
          <w:tab w:val="num" w:pos="283"/>
        </w:tabs>
        <w:ind w:left="283" w:hanging="283"/>
      </w:pPr>
      <w:rPr>
        <w:rFonts w:ascii="Arial" w:hAnsi="Arial" w:cs="Arial"/>
        <w:b w:val="0"/>
        <w:i w:val="0"/>
        <w:color w:val="D58001"/>
        <w:sz w:val="18"/>
        <w:u w:val="none"/>
      </w:rPr>
    </w:lvl>
    <w:lvl w:ilvl="5">
      <w:start w:val="6"/>
      <w:numFmt w:val="bullet"/>
      <w:pStyle w:val="BackgroundBullets2"/>
      <w:lvlText w:val="○"/>
      <w:lvlJc w:val="left"/>
      <w:pPr>
        <w:tabs>
          <w:tab w:val="num" w:pos="567"/>
        </w:tabs>
        <w:ind w:left="567" w:hanging="284"/>
      </w:pPr>
      <w:rPr>
        <w:rFonts w:ascii="Arial" w:hAnsi="Arial" w:cs="Arial"/>
        <w:b w:val="0"/>
        <w:i w:val="0"/>
        <w:color w:val="D58001"/>
        <w:sz w:val="18"/>
        <w:u w:val="none"/>
      </w:rPr>
    </w:lvl>
    <w:lvl w:ilvl="6">
      <w:start w:val="7"/>
      <w:numFmt w:val="bullet"/>
      <w:lvlText w:val="●"/>
      <w:lvlJc w:val="left"/>
      <w:pPr>
        <w:tabs>
          <w:tab w:val="num" w:pos="283"/>
        </w:tabs>
        <w:ind w:left="283" w:hanging="283"/>
      </w:pPr>
      <w:rPr>
        <w:rFonts w:ascii="Arial" w:hAnsi="Arial" w:cs="Arial"/>
        <w:b w:val="0"/>
        <w:i w:val="0"/>
        <w:color w:val="D58001"/>
        <w:sz w:val="18"/>
        <w:u w:val="none"/>
      </w:rPr>
    </w:lvl>
    <w:lvl w:ilvl="7">
      <w:start w:val="8"/>
      <w:numFmt w:val="bullet"/>
      <w:lvlText w:val="●"/>
      <w:lvlJc w:val="left"/>
      <w:pPr>
        <w:tabs>
          <w:tab w:val="num" w:pos="283"/>
        </w:tabs>
        <w:ind w:left="283" w:hanging="283"/>
      </w:pPr>
      <w:rPr>
        <w:rFonts w:ascii="Arial" w:hAnsi="Arial" w:cs="Arial"/>
        <w:b w:val="0"/>
        <w:i w:val="0"/>
        <w:color w:val="D58001"/>
        <w:sz w:val="18"/>
        <w:u w:val="none"/>
      </w:rPr>
    </w:lvl>
    <w:lvl w:ilvl="8">
      <w:start w:val="9"/>
      <w:numFmt w:val="bullet"/>
      <w:lvlText w:val="●"/>
      <w:lvlJc w:val="left"/>
      <w:pPr>
        <w:tabs>
          <w:tab w:val="num" w:pos="283"/>
        </w:tabs>
        <w:ind w:left="283" w:hanging="283"/>
      </w:pPr>
      <w:rPr>
        <w:rFonts w:ascii="Arial" w:hAnsi="Arial" w:cs="Arial"/>
        <w:b w:val="0"/>
        <w:i w:val="0"/>
        <w:color w:val="D58001"/>
        <w:sz w:val="18"/>
        <w:u w:val="none"/>
      </w:rPr>
    </w:lvl>
  </w:abstractNum>
  <w:abstractNum w:abstractNumId="16" w15:restartNumberingAfterBreak="0">
    <w:nsid w:val="37A451A6"/>
    <w:multiLevelType w:val="multilevel"/>
    <w:tmpl w:val="044664E0"/>
    <w:name w:val="zzmpCorporate8||Corporate Scheme 8|2|1|1|1|0|41||1|4|33||1|4|32||1|4|32||1|4|32||1|4|32||1|4|32||1|4|32||1|4|32||"/>
    <w:lvl w:ilvl="0">
      <w:start w:val="1"/>
      <w:numFmt w:val="decimal"/>
      <w:pStyle w:val="Corporate8L1"/>
      <w:lvlText w:val="%1."/>
      <w:lvlJc w:val="left"/>
      <w:pPr>
        <w:tabs>
          <w:tab w:val="num" w:pos="720"/>
        </w:tabs>
        <w:ind w:left="0" w:firstLine="0"/>
      </w:pPr>
      <w:rPr>
        <w:rFonts w:ascii="Times New Roman" w:hAnsi="Times New Roman" w:cs="Times New Roman"/>
        <w:b/>
        <w:i w:val="0"/>
        <w:caps w:val="0"/>
        <w:u w:val="none"/>
      </w:rPr>
    </w:lvl>
    <w:lvl w:ilvl="1">
      <w:start w:val="1"/>
      <w:numFmt w:val="decimal"/>
      <w:pStyle w:val="Corporate8L2"/>
      <w:isLgl/>
      <w:lvlText w:val="%1.%2."/>
      <w:lvlJc w:val="left"/>
      <w:pPr>
        <w:tabs>
          <w:tab w:val="num" w:pos="720"/>
        </w:tabs>
        <w:ind w:left="720" w:hanging="720"/>
      </w:pPr>
      <w:rPr>
        <w:rFonts w:ascii="Times New Roman" w:hAnsi="Times New Roman" w:cs="Times New Roman"/>
        <w:b/>
        <w:i w:val="0"/>
        <w:caps w:val="0"/>
        <w:u w:val="none"/>
      </w:rPr>
    </w:lvl>
    <w:lvl w:ilvl="2">
      <w:start w:val="1"/>
      <w:numFmt w:val="lowerLetter"/>
      <w:pStyle w:val="Corporate8L3"/>
      <w:lvlText w:val="(%3)"/>
      <w:lvlJc w:val="left"/>
      <w:pPr>
        <w:tabs>
          <w:tab w:val="num" w:pos="2139"/>
        </w:tabs>
        <w:ind w:left="2139" w:hanging="720"/>
      </w:pPr>
      <w:rPr>
        <w:rFonts w:ascii="Times New Roman" w:hAnsi="Times New Roman" w:cs="Times New Roman"/>
        <w:b w:val="0"/>
        <w:i w:val="0"/>
        <w:caps w:val="0"/>
        <w:u w:val="none"/>
      </w:rPr>
    </w:lvl>
    <w:lvl w:ilvl="3">
      <w:start w:val="1"/>
      <w:numFmt w:val="lowerRoman"/>
      <w:pStyle w:val="Corporate8L4"/>
      <w:lvlText w:val="(%4)"/>
      <w:lvlJc w:val="left"/>
      <w:pPr>
        <w:tabs>
          <w:tab w:val="num" w:pos="2880"/>
        </w:tabs>
        <w:ind w:left="0" w:firstLine="2160"/>
      </w:pPr>
      <w:rPr>
        <w:rFonts w:ascii="Times New Roman" w:hAnsi="Times New Roman" w:cs="Times New Roman"/>
        <w:b w:val="0"/>
        <w:i w:val="0"/>
        <w:caps w:val="0"/>
        <w:u w:val="none"/>
      </w:rPr>
    </w:lvl>
    <w:lvl w:ilvl="4">
      <w:start w:val="1"/>
      <w:numFmt w:val="decimal"/>
      <w:pStyle w:val="Corporate8L5"/>
      <w:lvlText w:val="%1.%2.%5"/>
      <w:lvlJc w:val="left"/>
      <w:pPr>
        <w:tabs>
          <w:tab w:val="num" w:pos="1440"/>
        </w:tabs>
        <w:ind w:left="1440" w:hanging="720"/>
      </w:pPr>
      <w:rPr>
        <w:rFonts w:ascii="Times New Roman" w:hAnsi="Times New Roman" w:cs="Times New Roman"/>
        <w:b/>
        <w:i w:val="0"/>
        <w:caps w:val="0"/>
        <w:u w:val="none"/>
      </w:rPr>
    </w:lvl>
    <w:lvl w:ilvl="5">
      <w:start w:val="1"/>
      <w:numFmt w:val="upperLetter"/>
      <w:pStyle w:val="Corporate8L6"/>
      <w:lvlText w:val="(%6)"/>
      <w:lvlJc w:val="left"/>
      <w:pPr>
        <w:tabs>
          <w:tab w:val="num" w:pos="4320"/>
        </w:tabs>
        <w:ind w:left="0" w:firstLine="3600"/>
      </w:pPr>
      <w:rPr>
        <w:rFonts w:ascii="Times New Roman" w:hAnsi="Times New Roman" w:cs="Times New Roman"/>
        <w:b w:val="0"/>
        <w:i w:val="0"/>
        <w:caps w:val="0"/>
        <w:u w:val="none"/>
      </w:rPr>
    </w:lvl>
    <w:lvl w:ilvl="6">
      <w:start w:val="1"/>
      <w:numFmt w:val="lowerRoman"/>
      <w:pStyle w:val="Corporate8L7"/>
      <w:lvlText w:val="(%7)"/>
      <w:lvlJc w:val="left"/>
      <w:pPr>
        <w:tabs>
          <w:tab w:val="num" w:pos="5040"/>
        </w:tabs>
        <w:ind w:left="0" w:firstLine="4320"/>
      </w:pPr>
      <w:rPr>
        <w:rFonts w:ascii="Times New Roman" w:hAnsi="Times New Roman" w:cs="Times New Roman"/>
        <w:b w:val="0"/>
        <w:i w:val="0"/>
        <w:caps w:val="0"/>
        <w:u w:val="none"/>
      </w:rPr>
    </w:lvl>
    <w:lvl w:ilvl="7">
      <w:start w:val="1"/>
      <w:numFmt w:val="decimal"/>
      <w:pStyle w:val="Corporate8L8"/>
      <w:lvlText w:val="(%8)"/>
      <w:lvlJc w:val="left"/>
      <w:pPr>
        <w:tabs>
          <w:tab w:val="num" w:pos="5760"/>
        </w:tabs>
        <w:ind w:left="0" w:firstLine="5040"/>
      </w:pPr>
      <w:rPr>
        <w:rFonts w:ascii="Times New Roman" w:hAnsi="Times New Roman" w:cs="Times New Roman"/>
        <w:b w:val="0"/>
        <w:i w:val="0"/>
        <w:caps w:val="0"/>
        <w:u w:val="none"/>
      </w:rPr>
    </w:lvl>
    <w:lvl w:ilvl="8">
      <w:start w:val="1"/>
      <w:numFmt w:val="lowerLetter"/>
      <w:pStyle w:val="Corporate8L9"/>
      <w:lvlText w:val="(%9)"/>
      <w:lvlJc w:val="left"/>
      <w:pPr>
        <w:tabs>
          <w:tab w:val="num" w:pos="6480"/>
        </w:tabs>
        <w:ind w:left="0" w:firstLine="5760"/>
      </w:pPr>
      <w:rPr>
        <w:rFonts w:ascii="Times New Roman" w:hAnsi="Times New Roman" w:cs="Times New Roman"/>
        <w:b w:val="0"/>
        <w:i w:val="0"/>
        <w:caps w:val="0"/>
        <w:u w:val="none"/>
      </w:rPr>
    </w:lvl>
  </w:abstractNum>
  <w:abstractNum w:abstractNumId="17" w15:restartNumberingAfterBreak="0">
    <w:nsid w:val="37FB6470"/>
    <w:multiLevelType w:val="hybridMultilevel"/>
    <w:tmpl w:val="C5F62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316ACC"/>
    <w:multiLevelType w:val="multilevel"/>
    <w:tmpl w:val="E44864EC"/>
    <w:styleLink w:val="NumberingTheAppendix"/>
    <w:lvl w:ilvl="0">
      <w:start w:val="1"/>
      <w:numFmt w:val="none"/>
      <w:pStyle w:val="AppendixThe"/>
      <w:suff w:val="nothing"/>
      <w:lvlText w:val="The Appendix"/>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16C1F0B"/>
    <w:multiLevelType w:val="multilevel"/>
    <w:tmpl w:val="EF8A22A6"/>
    <w:numStyleLink w:val="NumberingSchedules"/>
  </w:abstractNum>
  <w:abstractNum w:abstractNumId="20" w15:restartNumberingAfterBreak="0">
    <w:nsid w:val="437A4EA8"/>
    <w:multiLevelType w:val="hybridMultilevel"/>
    <w:tmpl w:val="A802E5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3E61CF4"/>
    <w:multiLevelType w:val="multilevel"/>
    <w:tmpl w:val="6F326092"/>
    <w:styleLink w:val="NumberingAppendixHeadings"/>
    <w:lvl w:ilvl="0">
      <w:start w:val="1"/>
      <w:numFmt w:val="upperLetter"/>
      <w:pStyle w:val="Appendix"/>
      <w:suff w:val="nothing"/>
      <w:lvlText w:val="Appendix %1"/>
      <w:lvlJc w:val="left"/>
      <w:pPr>
        <w:ind w:left="0" w:firstLine="0"/>
      </w:pPr>
      <w:rPr>
        <w:rFonts w:hint="default"/>
        <w:b/>
        <w:i w:val="0"/>
      </w:rPr>
    </w:lvl>
    <w:lvl w:ilvl="1">
      <w:start w:val="1"/>
      <w:numFmt w:val="decimal"/>
      <w:pStyle w:val="AppendixPart"/>
      <w:suff w:val="nothing"/>
      <w:lvlText w:val="Part %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decimal"/>
      <w:suff w:val="nothing"/>
      <w:lvlText w:val="%3"/>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D383374"/>
    <w:multiLevelType w:val="multilevel"/>
    <w:tmpl w:val="25D24EA0"/>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E5849D5"/>
    <w:multiLevelType w:val="hybridMultilevel"/>
    <w:tmpl w:val="707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5635C3"/>
    <w:multiLevelType w:val="hybridMultilevel"/>
    <w:tmpl w:val="C4EABD02"/>
    <w:lvl w:ilvl="0" w:tplc="7D28CE8E">
      <w:start w:val="1"/>
      <w:numFmt w:val="upperRoman"/>
      <w:pStyle w:val="SectionHeading"/>
      <w:lvlText w:val="%1."/>
      <w:lvlJc w:val="left"/>
      <w:pPr>
        <w:ind w:left="360" w:hanging="360"/>
      </w:pPr>
      <w:rPr>
        <w:rFonts w:ascii="Calibri" w:hAnsi="Calibri" w:hint="default"/>
        <w:b/>
        <w:i w:val="0"/>
        <w:caps/>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5925E5"/>
    <w:multiLevelType w:val="multilevel"/>
    <w:tmpl w:val="785C07E6"/>
    <w:styleLink w:val="NumberingDefinitions"/>
    <w:lvl w:ilvl="0">
      <w:start w:val="1"/>
      <w:numFmt w:val="none"/>
      <w:pStyle w:val="Definition"/>
      <w:suff w:val="nothing"/>
      <w:lvlText w:val="%1"/>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b w:val="0"/>
        <w:i w:val="0"/>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lowerLetter"/>
      <w:pStyle w:val="Definition5"/>
      <w:lvlText w:val="%6)"/>
      <w:lvlJc w:val="left"/>
      <w:pPr>
        <w:tabs>
          <w:tab w:val="num" w:pos="4321"/>
        </w:tabs>
        <w:ind w:left="4321" w:hanging="721"/>
      </w:pPr>
      <w:rPr>
        <w:rFonts w:hint="default"/>
      </w:rPr>
    </w:lvl>
    <w:lvl w:ilvl="6">
      <w:start w:val="1"/>
      <w:numFmt w:val="lowerRoman"/>
      <w:pStyle w:val="Definition6"/>
      <w:lvlText w:val="%7)"/>
      <w:lvlJc w:val="left"/>
      <w:pPr>
        <w:tabs>
          <w:tab w:val="num" w:pos="5041"/>
        </w:tabs>
        <w:ind w:left="5041" w:hanging="72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588407A8"/>
    <w:multiLevelType w:val="multilevel"/>
    <w:tmpl w:val="F2CC46F2"/>
    <w:styleLink w:val="NumberingTheSchedule"/>
    <w:lvl w:ilvl="0">
      <w:start w:val="1"/>
      <w:numFmt w:val="none"/>
      <w:pStyle w:val="ScheduleThe"/>
      <w:suff w:val="nothing"/>
      <w:lvlText w:val="The Schedule"/>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F8F4B88"/>
    <w:multiLevelType w:val="multilevel"/>
    <w:tmpl w:val="5A04E0DC"/>
    <w:styleLink w:val="SectionList"/>
    <w:lvl w:ilvl="0">
      <w:start w:val="1"/>
      <w:numFmt w:val="upperLetter"/>
      <w:lvlText w:val="SECTION (%1)"/>
      <w:lvlJc w:val="left"/>
      <w:pPr>
        <w:ind w:left="357" w:hanging="35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58F5B37"/>
    <w:multiLevelType w:val="multilevel"/>
    <w:tmpl w:val="EF8A22A6"/>
    <w:styleLink w:val="NumberingSchedules"/>
    <w:lvl w:ilvl="0">
      <w:start w:val="1"/>
      <w:numFmt w:val="none"/>
      <w:pStyle w:val="ScheduleSub"/>
      <w:suff w:val="nothing"/>
      <w:lvlText w:val=""/>
      <w:lvlJc w:val="left"/>
      <w:pPr>
        <w:ind w:left="0" w:firstLine="0"/>
      </w:pPr>
      <w:rPr>
        <w:rFonts w:hint="default"/>
      </w:rPr>
    </w:lvl>
    <w:lvl w:ilvl="1">
      <w:start w:val="1"/>
      <w:numFmt w:val="decimal"/>
      <w:pStyle w:val="Sch1Heading"/>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b w:val="0"/>
        <w:i w:val="0"/>
      </w:rPr>
    </w:lvl>
    <w:lvl w:ilvl="3">
      <w:start w:val="1"/>
      <w:numFmt w:val="lowerLetter"/>
      <w:pStyle w:val="Sch3Number"/>
      <w:lvlText w:val="(%4)"/>
      <w:lvlJc w:val="left"/>
      <w:pPr>
        <w:tabs>
          <w:tab w:val="num" w:pos="1440"/>
        </w:tabs>
        <w:ind w:left="1440" w:hanging="720"/>
      </w:pPr>
      <w:rPr>
        <w:rFonts w:hint="default"/>
        <w:b w:val="0"/>
        <w:i w:val="0"/>
      </w:rPr>
    </w:lvl>
    <w:lvl w:ilvl="4">
      <w:start w:val="1"/>
      <w:numFmt w:val="lowerRoman"/>
      <w:pStyle w:val="Sch4Number"/>
      <w:lvlText w:val="(%5)"/>
      <w:lvlJc w:val="left"/>
      <w:pPr>
        <w:tabs>
          <w:tab w:val="num" w:pos="2160"/>
        </w:tabs>
        <w:ind w:left="2160" w:hanging="720"/>
      </w:pPr>
      <w:rPr>
        <w:rFonts w:hint="default"/>
        <w:b w:val="0"/>
        <w:i w:val="0"/>
      </w:rPr>
    </w:lvl>
    <w:lvl w:ilvl="5">
      <w:start w:val="1"/>
      <w:numFmt w:val="upperLetter"/>
      <w:pStyle w:val="Sch5Number"/>
      <w:lvlText w:val="(%6)"/>
      <w:lvlJc w:val="left"/>
      <w:pPr>
        <w:tabs>
          <w:tab w:val="num" w:pos="2880"/>
        </w:tabs>
        <w:ind w:left="2880" w:hanging="720"/>
      </w:pPr>
      <w:rPr>
        <w:rFonts w:hint="default"/>
        <w:b w:val="0"/>
        <w:i w:val="0"/>
      </w:rPr>
    </w:lvl>
    <w:lvl w:ilvl="6">
      <w:start w:val="1"/>
      <w:numFmt w:val="decimal"/>
      <w:pStyle w:val="Sch6Number"/>
      <w:lvlText w:val="%7)"/>
      <w:lvlJc w:val="left"/>
      <w:pPr>
        <w:tabs>
          <w:tab w:val="num" w:pos="3600"/>
        </w:tabs>
        <w:ind w:left="3600" w:hanging="720"/>
      </w:pPr>
      <w:rPr>
        <w:rFonts w:hint="default"/>
      </w:rPr>
    </w:lvl>
    <w:lvl w:ilvl="7">
      <w:start w:val="1"/>
      <w:numFmt w:val="lowerLetter"/>
      <w:pStyle w:val="Sch7Number"/>
      <w:lvlText w:val="%8)"/>
      <w:lvlJc w:val="left"/>
      <w:pPr>
        <w:tabs>
          <w:tab w:val="num" w:pos="4321"/>
        </w:tabs>
        <w:ind w:left="4321" w:hanging="721"/>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5EB2972"/>
    <w:multiLevelType w:val="multilevel"/>
    <w:tmpl w:val="35F67D14"/>
    <w:numStyleLink w:val="NumberingParties"/>
  </w:abstractNum>
  <w:abstractNum w:abstractNumId="30" w15:restartNumberingAfterBreak="0">
    <w:nsid w:val="675D27BC"/>
    <w:multiLevelType w:val="multilevel"/>
    <w:tmpl w:val="62FA6FC8"/>
    <w:numStyleLink w:val="AppendixNumbering"/>
  </w:abstractNum>
  <w:abstractNum w:abstractNumId="31" w15:restartNumberingAfterBreak="0">
    <w:nsid w:val="696B7A1A"/>
    <w:multiLevelType w:val="multilevel"/>
    <w:tmpl w:val="43068AE2"/>
    <w:lvl w:ilvl="0">
      <w:start w:val="2"/>
      <w:numFmt w:val="decimal"/>
      <w:pStyle w:val="Section2Style"/>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60420C"/>
    <w:multiLevelType w:val="multilevel"/>
    <w:tmpl w:val="AA0AC98E"/>
    <w:name w:val="zzmpLONLegal1||LON Legal 1|3|5|1|1|2|41||1|2|32||1|2|32||1|2|32||1|2|32||1|2|32||1|2|32||1|2|32||1|2|32||"/>
    <w:lvl w:ilvl="0">
      <w:start w:val="1"/>
      <w:numFmt w:val="decimal"/>
      <w:pStyle w:val="LONLegal1L1"/>
      <w:lvlText w:val="%1."/>
      <w:lvlJc w:val="left"/>
      <w:pPr>
        <w:tabs>
          <w:tab w:val="num" w:pos="992"/>
        </w:tabs>
        <w:ind w:left="992" w:hanging="992"/>
      </w:pPr>
      <w:rPr>
        <w:rFonts w:ascii="Times New Roman" w:hAnsi="Times New Roman" w:cs="Times New Roman"/>
        <w:b/>
        <w:i w:val="0"/>
        <w:caps w:val="0"/>
        <w:sz w:val="24"/>
        <w:u w:val="none"/>
      </w:rPr>
    </w:lvl>
    <w:lvl w:ilvl="1">
      <w:start w:val="1"/>
      <w:numFmt w:val="decimal"/>
      <w:pStyle w:val="LONLegal1L2"/>
      <w:lvlText w:val="%1.%2"/>
      <w:lvlJc w:val="left"/>
      <w:pPr>
        <w:tabs>
          <w:tab w:val="num" w:pos="992"/>
        </w:tabs>
        <w:ind w:left="992" w:hanging="992"/>
      </w:pPr>
      <w:rPr>
        <w:rFonts w:ascii="Times New Roman" w:hAnsi="Times New Roman" w:cs="Times New Roman"/>
        <w:b/>
        <w:bCs/>
        <w:i w:val="0"/>
        <w:iCs/>
        <w:sz w:val="24"/>
        <w:u w:val="none"/>
      </w:rPr>
    </w:lvl>
    <w:lvl w:ilvl="2">
      <w:start w:val="1"/>
      <w:numFmt w:val="lowerLetter"/>
      <w:pStyle w:val="LONLegal1L3"/>
      <w:lvlText w:val="%3)"/>
      <w:lvlJc w:val="left"/>
      <w:pPr>
        <w:tabs>
          <w:tab w:val="num" w:pos="1984"/>
        </w:tabs>
        <w:ind w:left="1984" w:hanging="992"/>
      </w:pPr>
      <w:rPr>
        <w:b w:val="0"/>
        <w:bCs w:val="0"/>
        <w:sz w:val="24"/>
        <w:u w:val="none"/>
      </w:rPr>
    </w:lvl>
    <w:lvl w:ilvl="3">
      <w:start w:val="1"/>
      <w:numFmt w:val="lowerLetter"/>
      <w:pStyle w:val="LONLegal1L1"/>
      <w:lvlText w:val="(%4)"/>
      <w:lvlJc w:val="left"/>
      <w:pPr>
        <w:tabs>
          <w:tab w:val="num" w:pos="2976"/>
        </w:tabs>
        <w:ind w:left="2976" w:hanging="992"/>
      </w:pPr>
      <w:rPr>
        <w:rFonts w:ascii="Times New Roman" w:hAnsi="Times New Roman" w:cs="Times New Roman"/>
        <w:sz w:val="24"/>
        <w:u w:val="none"/>
      </w:rPr>
    </w:lvl>
    <w:lvl w:ilvl="4">
      <w:start w:val="1"/>
      <w:numFmt w:val="lowerRoman"/>
      <w:pStyle w:val="LONLegal1L2"/>
      <w:lvlText w:val="(%5)"/>
      <w:lvlJc w:val="left"/>
      <w:pPr>
        <w:tabs>
          <w:tab w:val="num" w:pos="3968"/>
        </w:tabs>
        <w:ind w:left="3969" w:hanging="993"/>
      </w:pPr>
      <w:rPr>
        <w:rFonts w:ascii="Times New Roman" w:hAnsi="Times New Roman" w:cs="Times New Roman"/>
        <w:sz w:val="24"/>
        <w:u w:val="none"/>
      </w:rPr>
    </w:lvl>
    <w:lvl w:ilvl="5">
      <w:start w:val="1"/>
      <w:numFmt w:val="decimal"/>
      <w:pStyle w:val="LONLegal1L6"/>
      <w:lvlText w:val="(%6)"/>
      <w:lvlJc w:val="left"/>
      <w:pPr>
        <w:tabs>
          <w:tab w:val="num" w:pos="4961"/>
        </w:tabs>
        <w:ind w:left="4961" w:hanging="992"/>
      </w:pPr>
      <w:rPr>
        <w:rFonts w:ascii="Times New Roman" w:hAnsi="Times New Roman" w:cs="Times New Roman"/>
        <w:sz w:val="24"/>
        <w:u w:val="none"/>
      </w:rPr>
    </w:lvl>
    <w:lvl w:ilvl="6">
      <w:start w:val="1"/>
      <w:numFmt w:val="upperLetter"/>
      <w:pStyle w:val="LONLegal1L3"/>
      <w:lvlText w:val="(%7)"/>
      <w:lvlJc w:val="left"/>
      <w:pPr>
        <w:tabs>
          <w:tab w:val="num" w:pos="5953"/>
        </w:tabs>
        <w:ind w:left="5953" w:hanging="992"/>
      </w:pPr>
      <w:rPr>
        <w:rFonts w:ascii="Times New Roman" w:hAnsi="Times New Roman" w:cs="Times New Roman"/>
        <w:b w:val="0"/>
        <w:i w:val="0"/>
        <w:caps w:val="0"/>
        <w:color w:val="auto"/>
        <w:sz w:val="24"/>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u w:val="none"/>
      </w:rPr>
    </w:lvl>
  </w:abstractNum>
  <w:abstractNum w:abstractNumId="33" w15:restartNumberingAfterBreak="0">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6BA1078"/>
    <w:multiLevelType w:val="multilevel"/>
    <w:tmpl w:val="427E54E8"/>
    <w:styleLink w:val="NumberingBulletsMarketing"/>
    <w:lvl w:ilvl="0">
      <w:start w:val="1"/>
      <w:numFmt w:val="bullet"/>
      <w:lvlRestart w:val="0"/>
      <w:lvlText w:val="●"/>
      <w:lvlJc w:val="left"/>
      <w:pPr>
        <w:tabs>
          <w:tab w:val="num" w:pos="283"/>
        </w:tabs>
        <w:ind w:left="283" w:hanging="283"/>
      </w:pPr>
      <w:rPr>
        <w:rFonts w:ascii="Arial" w:hAnsi="Arial" w:hint="default"/>
        <w:b w:val="0"/>
        <w:i w:val="0"/>
        <w:color w:val="auto"/>
        <w:sz w:val="18"/>
        <w:u w:val="none"/>
      </w:rPr>
    </w:lvl>
    <w:lvl w:ilvl="1">
      <w:start w:val="2"/>
      <w:numFmt w:val="bullet"/>
      <w:lvlText w:val="○"/>
      <w:lvlJc w:val="left"/>
      <w:pPr>
        <w:tabs>
          <w:tab w:val="num" w:pos="567"/>
        </w:tabs>
        <w:ind w:left="567" w:hanging="284"/>
      </w:pPr>
      <w:rPr>
        <w:rFonts w:ascii="Arial" w:hAnsi="Arial" w:hint="default"/>
        <w:b w:val="0"/>
        <w:i w:val="0"/>
        <w:color w:val="auto"/>
        <w:sz w:val="18"/>
        <w:u w:val="none"/>
      </w:rPr>
    </w:lvl>
    <w:lvl w:ilvl="2">
      <w:start w:val="3"/>
      <w:numFmt w:val="bullet"/>
      <w:lvlText w:val="●"/>
      <w:lvlJc w:val="left"/>
      <w:pPr>
        <w:tabs>
          <w:tab w:val="num" w:pos="283"/>
        </w:tabs>
        <w:ind w:left="283" w:hanging="283"/>
      </w:pPr>
      <w:rPr>
        <w:rFonts w:ascii="Arial" w:hAnsi="Arial" w:hint="default"/>
        <w:b w:val="0"/>
        <w:i w:val="0"/>
        <w:color w:val="auto"/>
        <w:sz w:val="18"/>
        <w:u w:val="none"/>
      </w:rPr>
    </w:lvl>
    <w:lvl w:ilvl="3">
      <w:start w:val="4"/>
      <w:numFmt w:val="bullet"/>
      <w:lvlText w:val="○"/>
      <w:lvlJc w:val="left"/>
      <w:pPr>
        <w:tabs>
          <w:tab w:val="num" w:pos="567"/>
        </w:tabs>
        <w:ind w:left="567" w:hanging="284"/>
      </w:pPr>
      <w:rPr>
        <w:rFonts w:ascii="Arial" w:hAnsi="Arial" w:hint="default"/>
        <w:b w:val="0"/>
        <w:i w:val="0"/>
        <w:color w:val="auto"/>
        <w:sz w:val="18"/>
        <w:u w:val="none"/>
      </w:rPr>
    </w:lvl>
    <w:lvl w:ilvl="4">
      <w:start w:val="5"/>
      <w:numFmt w:val="bullet"/>
      <w:lvlText w:val="●"/>
      <w:lvlJc w:val="left"/>
      <w:pPr>
        <w:tabs>
          <w:tab w:val="num" w:pos="283"/>
        </w:tabs>
        <w:ind w:left="283" w:hanging="283"/>
      </w:pPr>
      <w:rPr>
        <w:rFonts w:ascii="Arial" w:hAnsi="Arial" w:hint="default"/>
        <w:b w:val="0"/>
        <w:i w:val="0"/>
        <w:color w:val="auto"/>
        <w:sz w:val="18"/>
        <w:u w:val="none"/>
      </w:rPr>
    </w:lvl>
    <w:lvl w:ilvl="5">
      <w:start w:val="6"/>
      <w:numFmt w:val="bullet"/>
      <w:lvlText w:val="○"/>
      <w:lvlJc w:val="left"/>
      <w:pPr>
        <w:tabs>
          <w:tab w:val="num" w:pos="567"/>
        </w:tabs>
        <w:ind w:left="567" w:hanging="284"/>
      </w:pPr>
      <w:rPr>
        <w:rFonts w:ascii="Arial" w:hAnsi="Arial" w:hint="default"/>
        <w:b w:val="0"/>
        <w:i w:val="0"/>
        <w:color w:val="auto"/>
        <w:sz w:val="18"/>
        <w:u w:val="none"/>
      </w:rPr>
    </w:lvl>
    <w:lvl w:ilvl="6">
      <w:start w:val="7"/>
      <w:numFmt w:val="bullet"/>
      <w:lvlText w:val="●"/>
      <w:lvlJc w:val="left"/>
      <w:pPr>
        <w:tabs>
          <w:tab w:val="num" w:pos="284"/>
        </w:tabs>
        <w:ind w:left="284" w:hanging="284"/>
      </w:pPr>
      <w:rPr>
        <w:rFonts w:ascii="Arial" w:hAnsi="Arial" w:hint="default"/>
        <w:b w:val="0"/>
        <w:i w:val="0"/>
        <w:color w:val="auto"/>
        <w:sz w:val="18"/>
        <w:u w:val="none"/>
      </w:rPr>
    </w:lvl>
    <w:lvl w:ilvl="7">
      <w:start w:val="8"/>
      <w:numFmt w:val="bullet"/>
      <w:lvlText w:val="●"/>
      <w:lvlJc w:val="left"/>
      <w:pPr>
        <w:tabs>
          <w:tab w:val="num" w:pos="284"/>
        </w:tabs>
        <w:ind w:left="284" w:hanging="284"/>
      </w:pPr>
      <w:rPr>
        <w:rFonts w:ascii="Arial" w:hAnsi="Arial" w:hint="default"/>
        <w:b w:val="0"/>
        <w:i w:val="0"/>
        <w:color w:val="auto"/>
        <w:sz w:val="18"/>
        <w:u w:val="none"/>
      </w:rPr>
    </w:lvl>
    <w:lvl w:ilvl="8">
      <w:start w:val="9"/>
      <w:numFmt w:val="bullet"/>
      <w:lvlText w:val="●"/>
      <w:lvlJc w:val="left"/>
      <w:pPr>
        <w:tabs>
          <w:tab w:val="num" w:pos="284"/>
        </w:tabs>
        <w:ind w:left="284" w:hanging="284"/>
      </w:pPr>
      <w:rPr>
        <w:rFonts w:ascii="Arial" w:hAnsi="Arial" w:hint="default"/>
        <w:b w:val="0"/>
        <w:i w:val="0"/>
        <w:color w:val="auto"/>
        <w:sz w:val="18"/>
        <w:u w:val="none"/>
      </w:rPr>
    </w:lvl>
  </w:abstractNum>
  <w:abstractNum w:abstractNumId="35" w15:restartNumberingAfterBreak="0">
    <w:nsid w:val="7DA73E9F"/>
    <w:multiLevelType w:val="multilevel"/>
    <w:tmpl w:val="33C4742E"/>
    <w:lvl w:ilvl="0">
      <w:start w:val="1"/>
      <w:numFmt w:val="decimal"/>
      <w:lvlText w:val="%1"/>
      <w:lvlJc w:val="left"/>
      <w:pPr>
        <w:ind w:left="720" w:hanging="720"/>
      </w:pPr>
    </w:lvl>
    <w:lvl w:ilvl="1">
      <w:start w:val="1"/>
      <w:numFmt w:val="decimal"/>
      <w:lvlText w:val="%1.%2"/>
      <w:lvlJc w:val="left"/>
      <w:pPr>
        <w:ind w:left="720" w:hanging="720"/>
      </w:pPr>
      <w:rPr>
        <w:b w:val="0"/>
        <w:i w:val="0"/>
        <w:color w:val="000000"/>
      </w:rPr>
    </w:lvl>
    <w:lvl w:ilvl="2">
      <w:start w:val="1"/>
      <w:numFmt w:val="lowerLetter"/>
      <w:lvlText w:val="(%3)"/>
      <w:lvlJc w:val="left"/>
      <w:pPr>
        <w:ind w:left="1440" w:hanging="720"/>
      </w:pPr>
      <w:rPr>
        <w:b w:val="0"/>
        <w:i w:val="0"/>
      </w:rPr>
    </w:lvl>
    <w:lvl w:ilvl="3">
      <w:start w:val="1"/>
      <w:numFmt w:val="lowerRoman"/>
      <w:lvlText w:val="(%4)"/>
      <w:lvlJc w:val="left"/>
      <w:pPr>
        <w:ind w:left="2160" w:hanging="720"/>
      </w:pPr>
      <w:rPr>
        <w:b w:val="0"/>
        <w:i w:val="0"/>
      </w:rPr>
    </w:lvl>
    <w:lvl w:ilvl="4">
      <w:start w:val="1"/>
      <w:numFmt w:val="upperLetter"/>
      <w:lvlText w:val="(%5)"/>
      <w:lvlJc w:val="left"/>
      <w:pPr>
        <w:ind w:left="2880" w:hanging="720"/>
      </w:pPr>
      <w:rPr>
        <w:b w:val="0"/>
        <w:i w:val="0"/>
      </w:rPr>
    </w:lvl>
    <w:lvl w:ilvl="5">
      <w:start w:val="1"/>
      <w:numFmt w:val="decimal"/>
      <w:lvlText w:val="%6)"/>
      <w:lvlJc w:val="left"/>
      <w:pPr>
        <w:ind w:left="3600" w:hanging="725"/>
      </w:pPr>
    </w:lvl>
    <w:lvl w:ilvl="6">
      <w:start w:val="1"/>
      <w:numFmt w:val="lowerLetter"/>
      <w:lvlText w:val="%7)"/>
      <w:lvlJc w:val="left"/>
      <w:pPr>
        <w:ind w:left="4321" w:hanging="721"/>
      </w:pPr>
    </w:lvl>
    <w:lvl w:ilvl="7">
      <w:start w:val="1"/>
      <w:numFmt w:val="lowerRoman"/>
      <w:lvlText w:val="%8)"/>
      <w:lvlJc w:val="left"/>
      <w:pPr>
        <w:ind w:left="5041" w:hanging="720"/>
      </w:pPr>
    </w:lvl>
    <w:lvl w:ilvl="8">
      <w:start w:val="1"/>
      <w:numFmt w:val="decimal"/>
      <w:lvlText w:val=""/>
      <w:lvlJc w:val="left"/>
      <w:pPr>
        <w:ind w:left="0" w:firstLine="0"/>
      </w:pPr>
    </w:lvl>
  </w:abstractNum>
  <w:num w:numId="1" w16cid:durableId="894773797">
    <w:abstractNumId w:val="4"/>
  </w:num>
  <w:num w:numId="2" w16cid:durableId="72433735">
    <w:abstractNumId w:val="21"/>
  </w:num>
  <w:num w:numId="3" w16cid:durableId="1667897580">
    <w:abstractNumId w:val="22"/>
  </w:num>
  <w:num w:numId="4" w16cid:durableId="394622323">
    <w:abstractNumId w:val="13"/>
  </w:num>
  <w:num w:numId="5" w16cid:durableId="150684816">
    <w:abstractNumId w:val="25"/>
  </w:num>
  <w:num w:numId="6" w16cid:durableId="165176771">
    <w:abstractNumId w:val="3"/>
    <w:lvlOverride w:ilvl="0">
      <w:lvl w:ilvl="0">
        <w:start w:val="1"/>
        <w:numFmt w:val="upperRoman"/>
        <w:pStyle w:val="Level1Heading"/>
        <w:lvlText w:val="%1"/>
        <w:lvlJc w:val="left"/>
        <w:pPr>
          <w:tabs>
            <w:tab w:val="num" w:pos="720"/>
          </w:tabs>
          <w:ind w:left="720" w:hanging="720"/>
        </w:pPr>
        <w:rPr>
          <w:rFonts w:hint="default"/>
          <w:i w:val="0"/>
          <w:iCs w:val="0"/>
        </w:rPr>
      </w:lvl>
    </w:lvlOverride>
    <w:lvlOverride w:ilvl="1">
      <w:lvl w:ilvl="1">
        <w:start w:val="1"/>
        <w:numFmt w:val="decimal"/>
        <w:pStyle w:val="Level2Number"/>
        <w:isLgl/>
        <w:lvlText w:val="%2"/>
        <w:lvlJc w:val="left"/>
        <w:pPr>
          <w:tabs>
            <w:tab w:val="num" w:pos="720"/>
          </w:tabs>
          <w:ind w:left="720" w:hanging="720"/>
        </w:pPr>
        <w:rPr>
          <w:rFonts w:hint="default"/>
          <w:b w:val="0"/>
          <w:i w:val="0"/>
        </w:rPr>
      </w:lvl>
    </w:lvlOverride>
    <w:lvlOverride w:ilvl="2">
      <w:lvl w:ilvl="2">
        <w:start w:val="1"/>
        <w:numFmt w:val="decimal"/>
        <w:pStyle w:val="Level3Number"/>
        <w:lvlText w:val="%2.%3"/>
        <w:lvlJc w:val="left"/>
        <w:pPr>
          <w:tabs>
            <w:tab w:val="num" w:pos="720"/>
          </w:tabs>
          <w:ind w:left="720" w:hanging="720"/>
        </w:pPr>
        <w:rPr>
          <w:rFonts w:hint="default"/>
          <w:b w:val="0"/>
          <w:i w:val="0"/>
          <w:color w:val="auto"/>
          <w:sz w:val="22"/>
          <w:szCs w:val="22"/>
        </w:rPr>
      </w:lvl>
    </w:lvlOverride>
    <w:lvlOverride w:ilvl="3">
      <w:lvl w:ilvl="3">
        <w:start w:val="1"/>
        <w:numFmt w:val="lowerLetter"/>
        <w:pStyle w:val="Level4Number"/>
        <w:lvlText w:val="(%4)"/>
        <w:lvlJc w:val="left"/>
        <w:pPr>
          <w:tabs>
            <w:tab w:val="num" w:pos="1440"/>
          </w:tabs>
          <w:ind w:left="1440" w:hanging="720"/>
        </w:pPr>
        <w:rPr>
          <w:rFonts w:hint="default"/>
          <w:b w:val="0"/>
          <w:i w:val="0"/>
        </w:rPr>
      </w:lvl>
    </w:lvlOverride>
    <w:lvlOverride w:ilvl="4">
      <w:lvl w:ilvl="4">
        <w:start w:val="1"/>
        <w:numFmt w:val="lowerRoman"/>
        <w:pStyle w:val="Level5Number"/>
        <w:lvlText w:val="(%5)"/>
        <w:lvlJc w:val="left"/>
        <w:pPr>
          <w:tabs>
            <w:tab w:val="num" w:pos="2160"/>
          </w:tabs>
          <w:ind w:left="2160" w:hanging="720"/>
        </w:pPr>
        <w:rPr>
          <w:rFonts w:hint="default"/>
          <w:b w:val="0"/>
          <w:i w:val="0"/>
        </w:rPr>
      </w:lvl>
    </w:lvlOverride>
    <w:lvlOverride w:ilvl="5">
      <w:lvl w:ilvl="5">
        <w:start w:val="1"/>
        <w:numFmt w:val="upperLetter"/>
        <w:pStyle w:val="Level6Number"/>
        <w:lvlText w:val="(%6)"/>
        <w:lvlJc w:val="left"/>
        <w:pPr>
          <w:tabs>
            <w:tab w:val="num" w:pos="2880"/>
          </w:tabs>
          <w:ind w:left="2880" w:hanging="720"/>
        </w:pPr>
        <w:rPr>
          <w:rFonts w:hint="default"/>
        </w:rPr>
      </w:lvl>
    </w:lvlOverride>
    <w:lvlOverride w:ilvl="6">
      <w:lvl w:ilvl="6">
        <w:start w:val="1"/>
        <w:numFmt w:val="lowerLetter"/>
        <w:pStyle w:val="Level7Number"/>
        <w:lvlText w:val="%7)"/>
        <w:lvlJc w:val="left"/>
        <w:pPr>
          <w:tabs>
            <w:tab w:val="num" w:pos="4321"/>
          </w:tabs>
          <w:ind w:left="4321" w:hanging="721"/>
        </w:pPr>
        <w:rPr>
          <w:rFonts w:hint="default"/>
        </w:rPr>
      </w:lvl>
    </w:lvlOverride>
    <w:lvlOverride w:ilvl="7">
      <w:lvl w:ilvl="7">
        <w:start w:val="1"/>
        <w:numFmt w:val="lowerRoman"/>
        <w:pStyle w:val="Level8Number"/>
        <w:lvlText w:val="%8)"/>
        <w:lvlJc w:val="left"/>
        <w:pPr>
          <w:tabs>
            <w:tab w:val="num" w:pos="5041"/>
          </w:tabs>
          <w:ind w:left="5041" w:hanging="720"/>
        </w:pPr>
        <w:rPr>
          <w:rFonts w:hint="default"/>
        </w:rPr>
      </w:lvl>
    </w:lvlOverride>
    <w:lvlOverride w:ilvl="8">
      <w:lvl w:ilvl="8">
        <w:start w:val="1"/>
        <w:numFmt w:val="none"/>
        <w:suff w:val="nothing"/>
        <w:lvlText w:val=""/>
        <w:lvlJc w:val="left"/>
        <w:pPr>
          <w:ind w:left="0" w:firstLine="0"/>
        </w:pPr>
        <w:rPr>
          <w:rFonts w:hint="default"/>
        </w:rPr>
      </w:lvl>
    </w:lvlOverride>
  </w:num>
  <w:num w:numId="7" w16cid:durableId="979308666">
    <w:abstractNumId w:val="1"/>
  </w:num>
  <w:num w:numId="8" w16cid:durableId="1460146520">
    <w:abstractNumId w:val="33"/>
  </w:num>
  <w:num w:numId="9" w16cid:durableId="802960593">
    <w:abstractNumId w:val="5"/>
  </w:num>
  <w:num w:numId="10" w16cid:durableId="338775585">
    <w:abstractNumId w:val="28"/>
  </w:num>
  <w:num w:numId="11" w16cid:durableId="371619601">
    <w:abstractNumId w:val="0"/>
  </w:num>
  <w:num w:numId="12" w16cid:durableId="1214661569">
    <w:abstractNumId w:val="18"/>
  </w:num>
  <w:num w:numId="13" w16cid:durableId="1303004973">
    <w:abstractNumId w:val="26"/>
  </w:num>
  <w:num w:numId="14" w16cid:durableId="1932621764">
    <w:abstractNumId w:val="27"/>
  </w:num>
  <w:num w:numId="15" w16cid:durableId="1612467857">
    <w:abstractNumId w:val="10"/>
  </w:num>
  <w:num w:numId="16" w16cid:durableId="415175378">
    <w:abstractNumId w:val="30"/>
  </w:num>
  <w:num w:numId="17" w16cid:durableId="1789469802">
    <w:abstractNumId w:val="18"/>
  </w:num>
  <w:num w:numId="18" w16cid:durableId="962735951">
    <w:abstractNumId w:val="13"/>
  </w:num>
  <w:num w:numId="19" w16cid:durableId="247735340">
    <w:abstractNumId w:val="25"/>
  </w:num>
  <w:num w:numId="20" w16cid:durableId="666522856">
    <w:abstractNumId w:val="9"/>
  </w:num>
  <w:num w:numId="21" w16cid:durableId="1774587143">
    <w:abstractNumId w:val="7"/>
  </w:num>
  <w:num w:numId="22" w16cid:durableId="1821575163">
    <w:abstractNumId w:val="11"/>
  </w:num>
  <w:num w:numId="23" w16cid:durableId="1034961086">
    <w:abstractNumId w:val="19"/>
  </w:num>
  <w:num w:numId="24" w16cid:durableId="1522353799">
    <w:abstractNumId w:val="24"/>
  </w:num>
  <w:num w:numId="25" w16cid:durableId="246503178">
    <w:abstractNumId w:val="29"/>
  </w:num>
  <w:num w:numId="26" w16cid:durableId="206525641">
    <w:abstractNumId w:val="34"/>
  </w:num>
  <w:num w:numId="27" w16cid:durableId="1078527061">
    <w:abstractNumId w:val="15"/>
  </w:num>
  <w:num w:numId="28" w16cid:durableId="1570850308">
    <w:abstractNumId w:val="8"/>
  </w:num>
  <w:num w:numId="29" w16cid:durableId="394621948">
    <w:abstractNumId w:val="31"/>
  </w:num>
  <w:num w:numId="30" w16cid:durableId="990794308">
    <w:abstractNumId w:val="3"/>
  </w:num>
  <w:num w:numId="31" w16cid:durableId="614096622">
    <w:abstractNumId w:val="16"/>
  </w:num>
  <w:num w:numId="32" w16cid:durableId="6790890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310564">
    <w:abstractNumId w:val="23"/>
  </w:num>
  <w:num w:numId="34" w16cid:durableId="45810149">
    <w:abstractNumId w:val="6"/>
  </w:num>
  <w:num w:numId="35" w16cid:durableId="1455905941">
    <w:abstractNumId w:val="12"/>
  </w:num>
  <w:num w:numId="36" w16cid:durableId="1959140865">
    <w:abstractNumId w:val="32"/>
  </w:num>
  <w:num w:numId="37" w16cid:durableId="906108411">
    <w:abstractNumId w:val="2"/>
  </w:num>
  <w:num w:numId="38" w16cid:durableId="1548373508">
    <w:abstractNumId w:val="14"/>
  </w:num>
  <w:num w:numId="39" w16cid:durableId="1113205901">
    <w:abstractNumId w:val="20"/>
  </w:num>
  <w:num w:numId="40" w16cid:durableId="1180581375">
    <w:abstractNumId w:val="3"/>
    <w:lvlOverride w:ilvl="0">
      <w:lvl w:ilvl="0">
        <w:start w:val="1"/>
        <w:numFmt w:val="upperRoman"/>
        <w:pStyle w:val="Level1Heading"/>
        <w:lvlText w:val="%1"/>
        <w:lvlJc w:val="left"/>
        <w:pPr>
          <w:tabs>
            <w:tab w:val="num" w:pos="720"/>
          </w:tabs>
          <w:ind w:left="720" w:hanging="720"/>
        </w:pPr>
        <w:rPr>
          <w:rFonts w:hint="default"/>
          <w:i w:val="0"/>
          <w:iCs w:val="0"/>
        </w:rPr>
      </w:lvl>
    </w:lvlOverride>
    <w:lvlOverride w:ilvl="1">
      <w:lvl w:ilvl="1">
        <w:start w:val="1"/>
        <w:numFmt w:val="decimal"/>
        <w:pStyle w:val="Level2Number"/>
        <w:isLgl/>
        <w:lvlText w:val="%2"/>
        <w:lvlJc w:val="left"/>
        <w:pPr>
          <w:tabs>
            <w:tab w:val="num" w:pos="720"/>
          </w:tabs>
          <w:ind w:left="720" w:hanging="720"/>
        </w:pPr>
        <w:rPr>
          <w:rFonts w:hint="default"/>
          <w:b w:val="0"/>
          <w:i w:val="0"/>
        </w:rPr>
      </w:lvl>
    </w:lvlOverride>
    <w:lvlOverride w:ilvl="2">
      <w:lvl w:ilvl="2">
        <w:start w:val="1"/>
        <w:numFmt w:val="decimal"/>
        <w:pStyle w:val="Level3Number"/>
        <w:lvlText w:val="%2.%3"/>
        <w:lvlJc w:val="left"/>
        <w:pPr>
          <w:tabs>
            <w:tab w:val="num" w:pos="720"/>
          </w:tabs>
          <w:ind w:left="720" w:hanging="720"/>
        </w:pPr>
        <w:rPr>
          <w:rFonts w:hint="default"/>
          <w:b w:val="0"/>
          <w:i w:val="0"/>
          <w:color w:val="auto"/>
          <w:sz w:val="22"/>
          <w:szCs w:val="22"/>
        </w:rPr>
      </w:lvl>
    </w:lvlOverride>
    <w:lvlOverride w:ilvl="3">
      <w:lvl w:ilvl="3">
        <w:start w:val="1"/>
        <w:numFmt w:val="lowerLetter"/>
        <w:pStyle w:val="Level4Number"/>
        <w:lvlText w:val="(%4)"/>
        <w:lvlJc w:val="left"/>
        <w:pPr>
          <w:tabs>
            <w:tab w:val="num" w:pos="1440"/>
          </w:tabs>
          <w:ind w:left="1440" w:hanging="720"/>
        </w:pPr>
        <w:rPr>
          <w:rFonts w:hint="default"/>
          <w:b w:val="0"/>
          <w:i w:val="0"/>
        </w:rPr>
      </w:lvl>
    </w:lvlOverride>
    <w:lvlOverride w:ilvl="4">
      <w:lvl w:ilvl="4">
        <w:start w:val="1"/>
        <w:numFmt w:val="lowerRoman"/>
        <w:pStyle w:val="Level5Number"/>
        <w:lvlText w:val="(%5)"/>
        <w:lvlJc w:val="left"/>
        <w:pPr>
          <w:tabs>
            <w:tab w:val="num" w:pos="2160"/>
          </w:tabs>
          <w:ind w:left="2160" w:hanging="720"/>
        </w:pPr>
        <w:rPr>
          <w:rFonts w:hint="default"/>
          <w:b w:val="0"/>
          <w:i w:val="0"/>
        </w:rPr>
      </w:lvl>
    </w:lvlOverride>
    <w:lvlOverride w:ilvl="5">
      <w:lvl w:ilvl="5">
        <w:start w:val="1"/>
        <w:numFmt w:val="upperLetter"/>
        <w:pStyle w:val="Level6Number"/>
        <w:lvlText w:val="(%6)"/>
        <w:lvlJc w:val="left"/>
        <w:pPr>
          <w:tabs>
            <w:tab w:val="num" w:pos="2880"/>
          </w:tabs>
          <w:ind w:left="2880" w:hanging="720"/>
        </w:pPr>
        <w:rPr>
          <w:rFonts w:hint="default"/>
        </w:rPr>
      </w:lvl>
    </w:lvlOverride>
    <w:lvlOverride w:ilvl="6">
      <w:lvl w:ilvl="6">
        <w:start w:val="1"/>
        <w:numFmt w:val="lowerLetter"/>
        <w:pStyle w:val="Level7Number"/>
        <w:lvlText w:val="%7)"/>
        <w:lvlJc w:val="left"/>
        <w:pPr>
          <w:tabs>
            <w:tab w:val="num" w:pos="4321"/>
          </w:tabs>
          <w:ind w:left="4321" w:hanging="721"/>
        </w:pPr>
        <w:rPr>
          <w:rFonts w:hint="default"/>
        </w:rPr>
      </w:lvl>
    </w:lvlOverride>
    <w:lvlOverride w:ilvl="7">
      <w:lvl w:ilvl="7">
        <w:start w:val="1"/>
        <w:numFmt w:val="lowerRoman"/>
        <w:pStyle w:val="Level8Number"/>
        <w:lvlText w:val="%8)"/>
        <w:lvlJc w:val="left"/>
        <w:pPr>
          <w:tabs>
            <w:tab w:val="num" w:pos="5041"/>
          </w:tabs>
          <w:ind w:left="5041" w:hanging="720"/>
        </w:pPr>
        <w:rPr>
          <w:rFonts w:hint="default"/>
        </w:rPr>
      </w:lvl>
    </w:lvlOverride>
    <w:lvlOverride w:ilvl="8">
      <w:lvl w:ilvl="8">
        <w:start w:val="1"/>
        <w:numFmt w:val="none"/>
        <w:suff w:val="nothing"/>
        <w:lvlText w:val=""/>
        <w:lvlJc w:val="left"/>
        <w:pPr>
          <w:ind w:left="0" w:firstLine="0"/>
        </w:pPr>
        <w:rPr>
          <w:rFonts w:hint="default"/>
        </w:rPr>
      </w:lvl>
    </w:lvlOverride>
  </w:num>
  <w:num w:numId="41" w16cid:durableId="1964380648">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_ID" w:val="2"/>
    <w:docVar w:name="TMS_Office_ID" w:val="17"/>
    <w:docVar w:name="TMS_Template_ID" w:val="346"/>
    <w:docVar w:name="TMS_Unit_ID" w:val="30"/>
  </w:docVars>
  <w:rsids>
    <w:rsidRoot w:val="005B25DB"/>
    <w:rsid w:val="00002F50"/>
    <w:rsid w:val="00017C7C"/>
    <w:rsid w:val="000229DC"/>
    <w:rsid w:val="00035A24"/>
    <w:rsid w:val="00046255"/>
    <w:rsid w:val="00052317"/>
    <w:rsid w:val="00056AE1"/>
    <w:rsid w:val="000703AB"/>
    <w:rsid w:val="000711A9"/>
    <w:rsid w:val="0007326D"/>
    <w:rsid w:val="0009443E"/>
    <w:rsid w:val="000A0F2C"/>
    <w:rsid w:val="000A6882"/>
    <w:rsid w:val="000B254B"/>
    <w:rsid w:val="000B5517"/>
    <w:rsid w:val="000D1914"/>
    <w:rsid w:val="000E6626"/>
    <w:rsid w:val="000E6BDF"/>
    <w:rsid w:val="000F0D74"/>
    <w:rsid w:val="000F6529"/>
    <w:rsid w:val="00104B93"/>
    <w:rsid w:val="00126B49"/>
    <w:rsid w:val="00141DC5"/>
    <w:rsid w:val="00153DFE"/>
    <w:rsid w:val="00157A41"/>
    <w:rsid w:val="0016365A"/>
    <w:rsid w:val="001735DD"/>
    <w:rsid w:val="00175FBF"/>
    <w:rsid w:val="00196E9A"/>
    <w:rsid w:val="001A3A99"/>
    <w:rsid w:val="001C306B"/>
    <w:rsid w:val="001C3D54"/>
    <w:rsid w:val="00205917"/>
    <w:rsid w:val="002176FD"/>
    <w:rsid w:val="00220DBF"/>
    <w:rsid w:val="00222650"/>
    <w:rsid w:val="00222BF4"/>
    <w:rsid w:val="00235228"/>
    <w:rsid w:val="00235416"/>
    <w:rsid w:val="00244F66"/>
    <w:rsid w:val="002570B5"/>
    <w:rsid w:val="00274F95"/>
    <w:rsid w:val="002960A3"/>
    <w:rsid w:val="002A499D"/>
    <w:rsid w:val="002B514F"/>
    <w:rsid w:val="002F594F"/>
    <w:rsid w:val="00301F05"/>
    <w:rsid w:val="00307426"/>
    <w:rsid w:val="00311C07"/>
    <w:rsid w:val="00314E1A"/>
    <w:rsid w:val="00344F9B"/>
    <w:rsid w:val="00346503"/>
    <w:rsid w:val="0037226D"/>
    <w:rsid w:val="00372BF1"/>
    <w:rsid w:val="00377064"/>
    <w:rsid w:val="003A2BDF"/>
    <w:rsid w:val="003C33E2"/>
    <w:rsid w:val="003C7E15"/>
    <w:rsid w:val="003E5968"/>
    <w:rsid w:val="00402586"/>
    <w:rsid w:val="00406AF9"/>
    <w:rsid w:val="004108B6"/>
    <w:rsid w:val="004126E5"/>
    <w:rsid w:val="00420B32"/>
    <w:rsid w:val="00431DC8"/>
    <w:rsid w:val="00433FEF"/>
    <w:rsid w:val="00435387"/>
    <w:rsid w:val="004559EB"/>
    <w:rsid w:val="00463D8F"/>
    <w:rsid w:val="004705DB"/>
    <w:rsid w:val="00492A29"/>
    <w:rsid w:val="004B1E89"/>
    <w:rsid w:val="004B69E1"/>
    <w:rsid w:val="004C64CA"/>
    <w:rsid w:val="004D1D65"/>
    <w:rsid w:val="004D27DB"/>
    <w:rsid w:val="004E3A87"/>
    <w:rsid w:val="004E6609"/>
    <w:rsid w:val="004E77E1"/>
    <w:rsid w:val="004F1EE8"/>
    <w:rsid w:val="005012C9"/>
    <w:rsid w:val="00507AD0"/>
    <w:rsid w:val="00512C5C"/>
    <w:rsid w:val="00531D5D"/>
    <w:rsid w:val="0055543C"/>
    <w:rsid w:val="0055561D"/>
    <w:rsid w:val="005563F2"/>
    <w:rsid w:val="00563BA8"/>
    <w:rsid w:val="00583C14"/>
    <w:rsid w:val="005B25DB"/>
    <w:rsid w:val="005C35C5"/>
    <w:rsid w:val="005C446B"/>
    <w:rsid w:val="005C62D2"/>
    <w:rsid w:val="005F2D77"/>
    <w:rsid w:val="0060430F"/>
    <w:rsid w:val="00605DC1"/>
    <w:rsid w:val="006140B5"/>
    <w:rsid w:val="00622E6C"/>
    <w:rsid w:val="00623D14"/>
    <w:rsid w:val="00626280"/>
    <w:rsid w:val="00636ADC"/>
    <w:rsid w:val="00653647"/>
    <w:rsid w:val="00662D53"/>
    <w:rsid w:val="00683C9C"/>
    <w:rsid w:val="006A1543"/>
    <w:rsid w:val="006A2CB8"/>
    <w:rsid w:val="006B5D96"/>
    <w:rsid w:val="006C50B6"/>
    <w:rsid w:val="006C64A6"/>
    <w:rsid w:val="006C6B7E"/>
    <w:rsid w:val="006D0636"/>
    <w:rsid w:val="006D4C23"/>
    <w:rsid w:val="006D783F"/>
    <w:rsid w:val="006F1C98"/>
    <w:rsid w:val="007009A3"/>
    <w:rsid w:val="0070389B"/>
    <w:rsid w:val="007226A2"/>
    <w:rsid w:val="007268C7"/>
    <w:rsid w:val="00733FED"/>
    <w:rsid w:val="0074460B"/>
    <w:rsid w:val="007713A5"/>
    <w:rsid w:val="00780244"/>
    <w:rsid w:val="00783A9D"/>
    <w:rsid w:val="007A2BE7"/>
    <w:rsid w:val="007A5BCF"/>
    <w:rsid w:val="007B6A5B"/>
    <w:rsid w:val="007C3152"/>
    <w:rsid w:val="007C6DDE"/>
    <w:rsid w:val="007D43C4"/>
    <w:rsid w:val="007F6D9D"/>
    <w:rsid w:val="00804467"/>
    <w:rsid w:val="00815220"/>
    <w:rsid w:val="00820E47"/>
    <w:rsid w:val="00831CCB"/>
    <w:rsid w:val="00834752"/>
    <w:rsid w:val="0085273D"/>
    <w:rsid w:val="00877C74"/>
    <w:rsid w:val="00886B85"/>
    <w:rsid w:val="008904B1"/>
    <w:rsid w:val="008A1871"/>
    <w:rsid w:val="008A7F05"/>
    <w:rsid w:val="008B3ABE"/>
    <w:rsid w:val="008B626D"/>
    <w:rsid w:val="008C030A"/>
    <w:rsid w:val="008E4EDF"/>
    <w:rsid w:val="0090550C"/>
    <w:rsid w:val="009118FB"/>
    <w:rsid w:val="00914954"/>
    <w:rsid w:val="00920D4E"/>
    <w:rsid w:val="009350F4"/>
    <w:rsid w:val="00936E68"/>
    <w:rsid w:val="00944EB6"/>
    <w:rsid w:val="00953A66"/>
    <w:rsid w:val="009778CC"/>
    <w:rsid w:val="00990EA0"/>
    <w:rsid w:val="00995052"/>
    <w:rsid w:val="009D3ADB"/>
    <w:rsid w:val="00A01A92"/>
    <w:rsid w:val="00A0500F"/>
    <w:rsid w:val="00A16432"/>
    <w:rsid w:val="00A16CD1"/>
    <w:rsid w:val="00A20F9D"/>
    <w:rsid w:val="00A51204"/>
    <w:rsid w:val="00A6781F"/>
    <w:rsid w:val="00A77DF2"/>
    <w:rsid w:val="00A80BEB"/>
    <w:rsid w:val="00A828FF"/>
    <w:rsid w:val="00A8753F"/>
    <w:rsid w:val="00A962CC"/>
    <w:rsid w:val="00AA6D41"/>
    <w:rsid w:val="00AB2D13"/>
    <w:rsid w:val="00AB779F"/>
    <w:rsid w:val="00AD0CDD"/>
    <w:rsid w:val="00AD6CC8"/>
    <w:rsid w:val="00AE1582"/>
    <w:rsid w:val="00AE2DF0"/>
    <w:rsid w:val="00AE4DEB"/>
    <w:rsid w:val="00AE6BF0"/>
    <w:rsid w:val="00B0460C"/>
    <w:rsid w:val="00B21A61"/>
    <w:rsid w:val="00B23A6C"/>
    <w:rsid w:val="00B2778D"/>
    <w:rsid w:val="00B444E6"/>
    <w:rsid w:val="00B504E7"/>
    <w:rsid w:val="00B63101"/>
    <w:rsid w:val="00B64DC3"/>
    <w:rsid w:val="00B70452"/>
    <w:rsid w:val="00B72508"/>
    <w:rsid w:val="00B8322A"/>
    <w:rsid w:val="00B847C0"/>
    <w:rsid w:val="00B8591A"/>
    <w:rsid w:val="00BA2155"/>
    <w:rsid w:val="00BB104C"/>
    <w:rsid w:val="00BC3F3E"/>
    <w:rsid w:val="00BC4ABA"/>
    <w:rsid w:val="00BC6920"/>
    <w:rsid w:val="00BD3A56"/>
    <w:rsid w:val="00C05F34"/>
    <w:rsid w:val="00C062F6"/>
    <w:rsid w:val="00C164CC"/>
    <w:rsid w:val="00C24753"/>
    <w:rsid w:val="00C37C62"/>
    <w:rsid w:val="00C50868"/>
    <w:rsid w:val="00C52899"/>
    <w:rsid w:val="00C54A74"/>
    <w:rsid w:val="00C56547"/>
    <w:rsid w:val="00C5757D"/>
    <w:rsid w:val="00C6789A"/>
    <w:rsid w:val="00C7071E"/>
    <w:rsid w:val="00C72EFC"/>
    <w:rsid w:val="00C85F14"/>
    <w:rsid w:val="00C93916"/>
    <w:rsid w:val="00CB4289"/>
    <w:rsid w:val="00CB799A"/>
    <w:rsid w:val="00CC6921"/>
    <w:rsid w:val="00CC79B9"/>
    <w:rsid w:val="00CE03A4"/>
    <w:rsid w:val="00CE3AD3"/>
    <w:rsid w:val="00CF0BF3"/>
    <w:rsid w:val="00CF7B8F"/>
    <w:rsid w:val="00D10CEE"/>
    <w:rsid w:val="00D27CB6"/>
    <w:rsid w:val="00D34F69"/>
    <w:rsid w:val="00D362F9"/>
    <w:rsid w:val="00D54C9F"/>
    <w:rsid w:val="00D63FA4"/>
    <w:rsid w:val="00D6653D"/>
    <w:rsid w:val="00D71D49"/>
    <w:rsid w:val="00D7738D"/>
    <w:rsid w:val="00D82817"/>
    <w:rsid w:val="00D85975"/>
    <w:rsid w:val="00D97E7A"/>
    <w:rsid w:val="00DA08BA"/>
    <w:rsid w:val="00DD2040"/>
    <w:rsid w:val="00DD3398"/>
    <w:rsid w:val="00DE6222"/>
    <w:rsid w:val="00DF22AB"/>
    <w:rsid w:val="00DF494E"/>
    <w:rsid w:val="00DF5C35"/>
    <w:rsid w:val="00E00F6E"/>
    <w:rsid w:val="00E01B60"/>
    <w:rsid w:val="00E2329E"/>
    <w:rsid w:val="00E277E7"/>
    <w:rsid w:val="00E3038A"/>
    <w:rsid w:val="00E303B1"/>
    <w:rsid w:val="00E31FFC"/>
    <w:rsid w:val="00E60C6C"/>
    <w:rsid w:val="00E627EC"/>
    <w:rsid w:val="00E7425A"/>
    <w:rsid w:val="00EA1377"/>
    <w:rsid w:val="00EB68C1"/>
    <w:rsid w:val="00EC4980"/>
    <w:rsid w:val="00ED00F3"/>
    <w:rsid w:val="00ED6629"/>
    <w:rsid w:val="00ED6730"/>
    <w:rsid w:val="00F30AC5"/>
    <w:rsid w:val="00F32C5E"/>
    <w:rsid w:val="00F34C4A"/>
    <w:rsid w:val="00F57C16"/>
    <w:rsid w:val="00F61C8C"/>
    <w:rsid w:val="00F92293"/>
    <w:rsid w:val="00FA5F72"/>
    <w:rsid w:val="00FB429A"/>
    <w:rsid w:val="00FC005A"/>
    <w:rsid w:val="00FC6953"/>
    <w:rsid w:val="00FE07A8"/>
    <w:rsid w:val="00FE30C5"/>
    <w:rsid w:val="00FF20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55CAB"/>
  <w15:chartTrackingRefBased/>
  <w15:docId w15:val="{7A54D96A-012A-4214-AB5B-82DA7BFB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lang w:val="en-GB" w:eastAsia="en-GB" w:bidi="ar-SA"/>
      </w:rPr>
    </w:rPrDefault>
    <w:pPrDefault>
      <w:pPr>
        <w:spacing w:line="2" w:lineRule="auto"/>
        <w:jc w:val="both"/>
      </w:pPr>
    </w:pPrDefault>
  </w:docDefaults>
  <w:latentStyles w:defLockedState="0" w:defUIPriority="99" w:defSemiHidden="0" w:defUnhideWhenUsed="0" w:defQFormat="0" w:count="376">
    <w:lsdException w:name="Normal" w:uiPriority="0" w:qFormat="1"/>
    <w:lsdException w:name="heading 1" w:semiHidden="1" w:uiPriority="92" w:qFormat="1"/>
    <w:lsdException w:name="heading 2" w:semiHidden="1" w:uiPriority="92" w:qFormat="1"/>
    <w:lsdException w:name="heading 3" w:semiHidden="1" w:uiPriority="92" w:qFormat="1"/>
    <w:lsdException w:name="heading 4" w:semiHidden="1" w:uiPriority="92" w:qFormat="1"/>
    <w:lsdException w:name="heading 5" w:semiHidden="1" w:uiPriority="92"/>
    <w:lsdException w:name="heading 6" w:semiHidden="1" w:uiPriority="92"/>
    <w:lsdException w:name="heading 7" w:semiHidden="1" w:uiPriority="92"/>
    <w:lsdException w:name="heading 8" w:semiHidden="1" w:uiPriority="92"/>
    <w:lsdException w:name="heading 9" w:semiHidden="1" w:uiPriority="92"/>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uiPriority="39"/>
    <w:lsdException w:name="toc 5" w:semiHidden="1"/>
    <w:lsdException w:name="toc 6" w:semiHidden="1" w:uiPriority="39"/>
    <w:lsdException w:name="toc 7" w:semiHidden="1" w:uiPriority="39"/>
    <w:lsdException w:name="toc 8" w:semiHidden="1"/>
    <w:lsdException w:name="toc 9" w:semiHidden="1"/>
    <w:lsdException w:name="Normal Indent" w:semiHidden="1"/>
    <w:lsdException w:name="footnote text" w:semiHidden="1"/>
    <w:lsdException w:name="annotation text" w:semiHidden="1" w:uiPriority="0"/>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7" w:qFormat="1"/>
    <w:lsdException w:name="Closing" w:semiHidden="1"/>
    <w:lsdException w:name="Signature" w:semiHidden="1"/>
    <w:lsdException w:name="Default Paragraph Font" w:semiHidden="1" w:uiPriority="1" w:unhideWhenUsed="1"/>
    <w:lsdException w:name="Body Text" w:semiHidden="1" w:uiPriority="5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7"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54"/>
    <w:lsdException w:name="Body Text 3" w:semiHidden="1" w:uiPriority="54"/>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4E1A"/>
    <w:pPr>
      <w:spacing w:line="288" w:lineRule="auto"/>
    </w:pPr>
  </w:style>
  <w:style w:type="paragraph" w:styleId="Heading1">
    <w:name w:val="heading 1"/>
    <w:basedOn w:val="BodyColour"/>
    <w:next w:val="BodyText"/>
    <w:link w:val="Heading1Char"/>
    <w:uiPriority w:val="92"/>
    <w:qFormat/>
    <w:rsid w:val="00A8753F"/>
    <w:pPr>
      <w:keepNext/>
      <w:spacing w:before="240"/>
      <w:outlineLvl w:val="0"/>
    </w:pPr>
    <w:rPr>
      <w:b/>
      <w:bCs/>
      <w:caps/>
      <w:sz w:val="32"/>
      <w:szCs w:val="32"/>
    </w:rPr>
  </w:style>
  <w:style w:type="paragraph" w:styleId="Heading2">
    <w:name w:val="heading 2"/>
    <w:basedOn w:val="BodyColour"/>
    <w:next w:val="BodyText"/>
    <w:link w:val="Heading2Char"/>
    <w:uiPriority w:val="92"/>
    <w:qFormat/>
    <w:rsid w:val="00A8753F"/>
    <w:pPr>
      <w:keepNext/>
      <w:spacing w:before="240"/>
      <w:outlineLvl w:val="1"/>
    </w:pPr>
    <w:rPr>
      <w:b/>
      <w:bCs/>
      <w:iCs/>
      <w:caps/>
      <w:sz w:val="24"/>
      <w:szCs w:val="28"/>
    </w:rPr>
  </w:style>
  <w:style w:type="paragraph" w:styleId="Heading3">
    <w:name w:val="heading 3"/>
    <w:basedOn w:val="BodyColour"/>
    <w:next w:val="BodyText"/>
    <w:link w:val="Heading3Char"/>
    <w:uiPriority w:val="92"/>
    <w:qFormat/>
    <w:rsid w:val="00A8753F"/>
    <w:pPr>
      <w:keepNext/>
      <w:spacing w:before="240"/>
      <w:outlineLvl w:val="2"/>
    </w:pPr>
    <w:rPr>
      <w:b/>
      <w:bCs/>
      <w:caps/>
      <w:szCs w:val="26"/>
    </w:rPr>
  </w:style>
  <w:style w:type="paragraph" w:styleId="Heading4">
    <w:name w:val="heading 4"/>
    <w:basedOn w:val="BodyColour"/>
    <w:next w:val="BodyText"/>
    <w:link w:val="Heading4Char"/>
    <w:uiPriority w:val="92"/>
    <w:qFormat/>
    <w:rsid w:val="00A8753F"/>
    <w:pPr>
      <w:keepNext/>
      <w:spacing w:before="240"/>
      <w:outlineLvl w:val="3"/>
    </w:pPr>
    <w:rPr>
      <w:rFonts w:eastAsiaTheme="majorEastAsia" w:cstheme="majorBidi"/>
      <w:b/>
      <w:iCs/>
      <w:caps/>
    </w:rPr>
  </w:style>
  <w:style w:type="paragraph" w:styleId="Heading5">
    <w:name w:val="heading 5"/>
    <w:basedOn w:val="Heading4"/>
    <w:next w:val="BodyText"/>
    <w:link w:val="Heading5Char"/>
    <w:uiPriority w:val="92"/>
    <w:semiHidden/>
    <w:rsid w:val="00A8753F"/>
    <w:pPr>
      <w:outlineLvl w:val="4"/>
    </w:pPr>
    <w:rPr>
      <w:b w:val="0"/>
      <w:sz w:val="18"/>
    </w:rPr>
  </w:style>
  <w:style w:type="paragraph" w:styleId="Heading6">
    <w:name w:val="heading 6"/>
    <w:basedOn w:val="Heading4"/>
    <w:next w:val="BodyText"/>
    <w:link w:val="Heading6Char"/>
    <w:uiPriority w:val="92"/>
    <w:semiHidden/>
    <w:rsid w:val="00A8753F"/>
    <w:pPr>
      <w:outlineLvl w:val="5"/>
    </w:pPr>
    <w:rPr>
      <w:b w:val="0"/>
      <w:sz w:val="18"/>
    </w:rPr>
  </w:style>
  <w:style w:type="paragraph" w:styleId="Heading7">
    <w:name w:val="heading 7"/>
    <w:basedOn w:val="Heading4"/>
    <w:next w:val="BodyText"/>
    <w:link w:val="Heading7Char"/>
    <w:uiPriority w:val="92"/>
    <w:semiHidden/>
    <w:rsid w:val="00A8753F"/>
    <w:pPr>
      <w:outlineLvl w:val="6"/>
    </w:pPr>
    <w:rPr>
      <w:b w:val="0"/>
      <w:iCs w:val="0"/>
      <w:sz w:val="18"/>
    </w:rPr>
  </w:style>
  <w:style w:type="paragraph" w:styleId="Heading8">
    <w:name w:val="heading 8"/>
    <w:basedOn w:val="Heading4"/>
    <w:next w:val="BodyText"/>
    <w:link w:val="Heading8Char"/>
    <w:uiPriority w:val="92"/>
    <w:semiHidden/>
    <w:rsid w:val="00A8753F"/>
    <w:pPr>
      <w:outlineLvl w:val="7"/>
    </w:pPr>
    <w:rPr>
      <w:b w:val="0"/>
      <w:sz w:val="18"/>
      <w:szCs w:val="21"/>
    </w:rPr>
  </w:style>
  <w:style w:type="paragraph" w:styleId="Heading9">
    <w:name w:val="heading 9"/>
    <w:basedOn w:val="Heading4"/>
    <w:next w:val="BodyText"/>
    <w:link w:val="Heading9Char"/>
    <w:uiPriority w:val="92"/>
    <w:semiHidden/>
    <w:rsid w:val="00A8753F"/>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BodyText"/>
    <w:next w:val="AppendixSub"/>
    <w:uiPriority w:val="84"/>
    <w:qFormat/>
    <w:rsid w:val="00B23A6C"/>
    <w:pPr>
      <w:numPr>
        <w:numId w:val="2"/>
      </w:numPr>
      <w:jc w:val="center"/>
      <w:outlineLvl w:val="0"/>
    </w:pPr>
    <w:rPr>
      <w:b/>
    </w:rPr>
  </w:style>
  <w:style w:type="paragraph" w:styleId="BodyText">
    <w:name w:val="Body Text"/>
    <w:basedOn w:val="Normal"/>
    <w:link w:val="BodyTextChar"/>
    <w:uiPriority w:val="54"/>
    <w:qFormat/>
    <w:rsid w:val="005B25DB"/>
    <w:pPr>
      <w:spacing w:after="240" w:line="240" w:lineRule="auto"/>
    </w:pPr>
    <w:rPr>
      <w:rFonts w:ascii="Calibri" w:hAnsi="Calibri"/>
      <w:sz w:val="22"/>
    </w:rPr>
  </w:style>
  <w:style w:type="character" w:customStyle="1" w:styleId="BodyTextChar">
    <w:name w:val="Body Text Char"/>
    <w:basedOn w:val="DefaultParagraphFont"/>
    <w:link w:val="BodyText"/>
    <w:uiPriority w:val="54"/>
    <w:rsid w:val="005B25DB"/>
    <w:rPr>
      <w:rFonts w:ascii="Calibri" w:hAnsi="Calibri"/>
      <w:sz w:val="22"/>
    </w:rPr>
  </w:style>
  <w:style w:type="paragraph" w:customStyle="1" w:styleId="Appendix1Heading">
    <w:name w:val="Appendix 1 Heading"/>
    <w:basedOn w:val="BodyText"/>
    <w:uiPriority w:val="89"/>
    <w:qFormat/>
    <w:rsid w:val="00563BA8"/>
    <w:pPr>
      <w:keepNext/>
      <w:numPr>
        <w:ilvl w:val="1"/>
        <w:numId w:val="16"/>
      </w:numPr>
      <w:outlineLvl w:val="2"/>
    </w:pPr>
    <w:rPr>
      <w:b/>
    </w:rPr>
  </w:style>
  <w:style w:type="paragraph" w:customStyle="1" w:styleId="Appendix1Number">
    <w:name w:val="Appendix 1 Number"/>
    <w:basedOn w:val="Appendix1Heading"/>
    <w:uiPriority w:val="89"/>
    <w:qFormat/>
    <w:rsid w:val="00563BA8"/>
    <w:pPr>
      <w:keepNext w:val="0"/>
    </w:pPr>
    <w:rPr>
      <w:b w:val="0"/>
    </w:rPr>
  </w:style>
  <w:style w:type="paragraph" w:customStyle="1" w:styleId="Appendix2Number">
    <w:name w:val="Appendix 2 Number"/>
    <w:basedOn w:val="BodyText"/>
    <w:uiPriority w:val="89"/>
    <w:qFormat/>
    <w:rsid w:val="00563BA8"/>
    <w:pPr>
      <w:numPr>
        <w:ilvl w:val="2"/>
        <w:numId w:val="16"/>
      </w:numPr>
    </w:pPr>
  </w:style>
  <w:style w:type="paragraph" w:customStyle="1" w:styleId="Appendix2Heading">
    <w:name w:val="Appendix 2 Heading"/>
    <w:basedOn w:val="Appendix2Number"/>
    <w:uiPriority w:val="89"/>
    <w:qFormat/>
    <w:rsid w:val="00563BA8"/>
    <w:pPr>
      <w:keepNext/>
    </w:pPr>
    <w:rPr>
      <w:b/>
    </w:rPr>
  </w:style>
  <w:style w:type="paragraph" w:customStyle="1" w:styleId="Appendix3Number">
    <w:name w:val="Appendix 3 Number"/>
    <w:basedOn w:val="BodyText"/>
    <w:uiPriority w:val="89"/>
    <w:qFormat/>
    <w:rsid w:val="00563BA8"/>
    <w:pPr>
      <w:numPr>
        <w:ilvl w:val="3"/>
        <w:numId w:val="16"/>
      </w:numPr>
    </w:pPr>
  </w:style>
  <w:style w:type="paragraph" w:customStyle="1" w:styleId="Appendix3Heading">
    <w:name w:val="Appendix 3 Heading"/>
    <w:basedOn w:val="Appendix3Number"/>
    <w:uiPriority w:val="89"/>
    <w:qFormat/>
    <w:rsid w:val="00563BA8"/>
    <w:pPr>
      <w:keepNext/>
    </w:pPr>
    <w:rPr>
      <w:b/>
    </w:rPr>
  </w:style>
  <w:style w:type="paragraph" w:customStyle="1" w:styleId="Appendix4Number">
    <w:name w:val="Appendix 4 Number"/>
    <w:basedOn w:val="BodyText"/>
    <w:uiPriority w:val="89"/>
    <w:qFormat/>
    <w:rsid w:val="00563BA8"/>
    <w:pPr>
      <w:numPr>
        <w:ilvl w:val="4"/>
        <w:numId w:val="16"/>
      </w:numPr>
    </w:pPr>
  </w:style>
  <w:style w:type="paragraph" w:customStyle="1" w:styleId="Appendix4Heading">
    <w:name w:val="Appendix 4 Heading"/>
    <w:basedOn w:val="Appendix4Number"/>
    <w:uiPriority w:val="89"/>
    <w:qFormat/>
    <w:rsid w:val="00563BA8"/>
    <w:pPr>
      <w:keepNext/>
    </w:pPr>
    <w:rPr>
      <w:b/>
    </w:rPr>
  </w:style>
  <w:style w:type="paragraph" w:customStyle="1" w:styleId="Appendix5Number">
    <w:name w:val="Appendix 5 Number"/>
    <w:basedOn w:val="BodyText"/>
    <w:uiPriority w:val="89"/>
    <w:qFormat/>
    <w:rsid w:val="00563BA8"/>
    <w:pPr>
      <w:numPr>
        <w:ilvl w:val="5"/>
        <w:numId w:val="16"/>
      </w:numPr>
    </w:pPr>
  </w:style>
  <w:style w:type="paragraph" w:customStyle="1" w:styleId="Appendix5Heading">
    <w:name w:val="Appendix 5 Heading"/>
    <w:basedOn w:val="Appendix5Number"/>
    <w:uiPriority w:val="89"/>
    <w:qFormat/>
    <w:rsid w:val="00563BA8"/>
    <w:pPr>
      <w:keepNext/>
    </w:pPr>
    <w:rPr>
      <w:b/>
    </w:rPr>
  </w:style>
  <w:style w:type="paragraph" w:customStyle="1" w:styleId="Appendix6Number">
    <w:name w:val="Appendix 6 Number"/>
    <w:basedOn w:val="BodyText"/>
    <w:uiPriority w:val="89"/>
    <w:qFormat/>
    <w:rsid w:val="00563BA8"/>
    <w:pPr>
      <w:numPr>
        <w:ilvl w:val="6"/>
        <w:numId w:val="16"/>
      </w:numPr>
    </w:pPr>
  </w:style>
  <w:style w:type="paragraph" w:customStyle="1" w:styleId="Appendix7Number">
    <w:name w:val="Appendix 7 Number"/>
    <w:basedOn w:val="BodyText"/>
    <w:uiPriority w:val="89"/>
    <w:qFormat/>
    <w:rsid w:val="00563BA8"/>
    <w:pPr>
      <w:numPr>
        <w:ilvl w:val="7"/>
        <w:numId w:val="16"/>
      </w:numPr>
    </w:pPr>
  </w:style>
  <w:style w:type="numbering" w:customStyle="1" w:styleId="AppendixNumbering">
    <w:name w:val="Appendix Numbering"/>
    <w:uiPriority w:val="99"/>
    <w:rsid w:val="00AE6BF0"/>
    <w:pPr>
      <w:numPr>
        <w:numId w:val="1"/>
      </w:numPr>
    </w:pPr>
  </w:style>
  <w:style w:type="paragraph" w:customStyle="1" w:styleId="AppendixPart">
    <w:name w:val="Appendix Part"/>
    <w:basedOn w:val="BodyText"/>
    <w:next w:val="Appendix1Heading"/>
    <w:uiPriority w:val="87"/>
    <w:qFormat/>
    <w:rsid w:val="00B23A6C"/>
    <w:pPr>
      <w:keepNext/>
      <w:numPr>
        <w:ilvl w:val="1"/>
        <w:numId w:val="2"/>
      </w:numPr>
      <w:jc w:val="center"/>
      <w:outlineLvl w:val="1"/>
    </w:pPr>
    <w:rPr>
      <w:b/>
    </w:rPr>
  </w:style>
  <w:style w:type="paragraph" w:customStyle="1" w:styleId="AppendixSub">
    <w:name w:val="Appendix Sub"/>
    <w:basedOn w:val="BodyText"/>
    <w:next w:val="Appendix1Heading"/>
    <w:uiPriority w:val="86"/>
    <w:qFormat/>
    <w:rsid w:val="00563BA8"/>
    <w:pPr>
      <w:keepNext/>
      <w:numPr>
        <w:numId w:val="16"/>
      </w:numPr>
      <w:jc w:val="center"/>
      <w:outlineLvl w:val="1"/>
    </w:pPr>
    <w:rPr>
      <w:b/>
    </w:rPr>
  </w:style>
  <w:style w:type="paragraph" w:customStyle="1" w:styleId="AppendixThe">
    <w:name w:val="Appendix The"/>
    <w:basedOn w:val="BodyText"/>
    <w:next w:val="AppendixSub"/>
    <w:uiPriority w:val="85"/>
    <w:qFormat/>
    <w:rsid w:val="00563BA8"/>
    <w:pPr>
      <w:numPr>
        <w:numId w:val="17"/>
      </w:numPr>
      <w:jc w:val="center"/>
    </w:pPr>
    <w:rPr>
      <w:b/>
    </w:rPr>
  </w:style>
  <w:style w:type="paragraph" w:customStyle="1" w:styleId="Background1">
    <w:name w:val="Background 1"/>
    <w:basedOn w:val="BodyText"/>
    <w:uiPriority w:val="29"/>
    <w:rsid w:val="00AE6BF0"/>
    <w:pPr>
      <w:numPr>
        <w:numId w:val="3"/>
      </w:numPr>
    </w:pPr>
  </w:style>
  <w:style w:type="paragraph" w:customStyle="1" w:styleId="Background2">
    <w:name w:val="Background 2"/>
    <w:basedOn w:val="BodyText"/>
    <w:uiPriority w:val="29"/>
    <w:rsid w:val="00AE6BF0"/>
    <w:pPr>
      <w:numPr>
        <w:ilvl w:val="1"/>
        <w:numId w:val="3"/>
      </w:numPr>
    </w:pPr>
  </w:style>
  <w:style w:type="paragraph" w:customStyle="1" w:styleId="Background3">
    <w:name w:val="Background 3"/>
    <w:basedOn w:val="BodyText"/>
    <w:uiPriority w:val="29"/>
    <w:rsid w:val="00AE6BF0"/>
    <w:pPr>
      <w:numPr>
        <w:ilvl w:val="2"/>
        <w:numId w:val="3"/>
      </w:numPr>
    </w:pPr>
  </w:style>
  <w:style w:type="paragraph" w:customStyle="1" w:styleId="Background4">
    <w:name w:val="Background 4"/>
    <w:basedOn w:val="BodyText"/>
    <w:uiPriority w:val="29"/>
    <w:rsid w:val="00AE6BF0"/>
    <w:pPr>
      <w:numPr>
        <w:ilvl w:val="3"/>
        <w:numId w:val="3"/>
      </w:numPr>
    </w:pPr>
  </w:style>
  <w:style w:type="paragraph" w:customStyle="1" w:styleId="BodyText1">
    <w:name w:val="Body Text 1"/>
    <w:basedOn w:val="BodyText"/>
    <w:link w:val="BodyText1Char"/>
    <w:uiPriority w:val="54"/>
    <w:qFormat/>
    <w:rsid w:val="00563BA8"/>
    <w:pPr>
      <w:tabs>
        <w:tab w:val="left" w:pos="720"/>
      </w:tabs>
      <w:ind w:left="720"/>
    </w:pPr>
  </w:style>
  <w:style w:type="character" w:customStyle="1" w:styleId="BodyText1Char">
    <w:name w:val="Body Text 1 Char"/>
    <w:basedOn w:val="BodyTextChar"/>
    <w:link w:val="BodyText1"/>
    <w:uiPriority w:val="54"/>
    <w:rsid w:val="00563BA8"/>
    <w:rPr>
      <w:rFonts w:ascii="Arial" w:hAnsi="Arial"/>
      <w:sz w:val="20"/>
    </w:rPr>
  </w:style>
  <w:style w:type="paragraph" w:customStyle="1" w:styleId="BodyText1Hanging">
    <w:name w:val="Body Text 1 Hanging"/>
    <w:basedOn w:val="BodyText"/>
    <w:link w:val="BodyText1HangingChar"/>
    <w:uiPriority w:val="55"/>
    <w:rsid w:val="007F6D9D"/>
    <w:pPr>
      <w:ind w:left="720" w:hanging="720"/>
    </w:pPr>
  </w:style>
  <w:style w:type="character" w:customStyle="1" w:styleId="BodyText1HangingChar">
    <w:name w:val="Body Text 1 Hanging Char"/>
    <w:basedOn w:val="BodyTextChar"/>
    <w:link w:val="BodyText1Hanging"/>
    <w:uiPriority w:val="55"/>
    <w:rsid w:val="007F6D9D"/>
    <w:rPr>
      <w:rFonts w:ascii="Arial" w:hAnsi="Arial"/>
      <w:sz w:val="20"/>
      <w:szCs w:val="20"/>
    </w:rPr>
  </w:style>
  <w:style w:type="paragraph" w:styleId="BodyText2">
    <w:name w:val="Body Text 2"/>
    <w:basedOn w:val="BodyText"/>
    <w:link w:val="BodyText2Char"/>
    <w:uiPriority w:val="54"/>
    <w:rsid w:val="00AE6BF0"/>
    <w:pPr>
      <w:tabs>
        <w:tab w:val="left" w:pos="720"/>
      </w:tabs>
      <w:ind w:left="720"/>
    </w:pPr>
  </w:style>
  <w:style w:type="character" w:customStyle="1" w:styleId="BodyText2Char">
    <w:name w:val="Body Text 2 Char"/>
    <w:basedOn w:val="DefaultParagraphFont"/>
    <w:link w:val="BodyText2"/>
    <w:uiPriority w:val="54"/>
    <w:rsid w:val="00AE6BF0"/>
    <w:rPr>
      <w:rFonts w:ascii="Arial" w:hAnsi="Arial"/>
      <w:sz w:val="20"/>
    </w:rPr>
  </w:style>
  <w:style w:type="paragraph" w:customStyle="1" w:styleId="BodyText2Hanging">
    <w:name w:val="Body Text 2 Hanging"/>
    <w:basedOn w:val="BodyText"/>
    <w:link w:val="BodyText2HangingChar"/>
    <w:uiPriority w:val="55"/>
    <w:rsid w:val="007F6D9D"/>
    <w:pPr>
      <w:ind w:left="720" w:hanging="720"/>
    </w:pPr>
  </w:style>
  <w:style w:type="character" w:customStyle="1" w:styleId="BodyText2HangingChar">
    <w:name w:val="Body Text 2 Hanging Char"/>
    <w:basedOn w:val="BodyTextChar"/>
    <w:link w:val="BodyText2Hanging"/>
    <w:uiPriority w:val="55"/>
    <w:rsid w:val="007F6D9D"/>
    <w:rPr>
      <w:rFonts w:ascii="Arial" w:hAnsi="Arial"/>
      <w:sz w:val="20"/>
      <w:szCs w:val="20"/>
    </w:rPr>
  </w:style>
  <w:style w:type="paragraph" w:styleId="BodyText3">
    <w:name w:val="Body Text 3"/>
    <w:basedOn w:val="BodyText"/>
    <w:link w:val="BodyText3Char"/>
    <w:uiPriority w:val="54"/>
    <w:rsid w:val="00AE6BF0"/>
    <w:pPr>
      <w:ind w:left="1440"/>
    </w:pPr>
  </w:style>
  <w:style w:type="character" w:customStyle="1" w:styleId="BodyText3Char">
    <w:name w:val="Body Text 3 Char"/>
    <w:basedOn w:val="DefaultParagraphFont"/>
    <w:link w:val="BodyText3"/>
    <w:uiPriority w:val="54"/>
    <w:rsid w:val="00AE6BF0"/>
    <w:rPr>
      <w:rFonts w:ascii="Arial" w:hAnsi="Arial"/>
      <w:sz w:val="20"/>
    </w:rPr>
  </w:style>
  <w:style w:type="paragraph" w:customStyle="1" w:styleId="BodyText3Hanging">
    <w:name w:val="Body Text 3 Hanging"/>
    <w:basedOn w:val="BodyText"/>
    <w:link w:val="BodyText3HangingChar"/>
    <w:uiPriority w:val="55"/>
    <w:rsid w:val="007F6D9D"/>
    <w:pPr>
      <w:tabs>
        <w:tab w:val="left" w:pos="720"/>
      </w:tabs>
      <w:ind w:left="1440" w:hanging="1440"/>
    </w:pPr>
  </w:style>
  <w:style w:type="character" w:customStyle="1" w:styleId="BodyText3HangingChar">
    <w:name w:val="Body Text 3 Hanging Char"/>
    <w:basedOn w:val="BodyTextChar"/>
    <w:link w:val="BodyText3Hanging"/>
    <w:uiPriority w:val="55"/>
    <w:rsid w:val="007F6D9D"/>
    <w:rPr>
      <w:rFonts w:ascii="Arial" w:hAnsi="Arial"/>
      <w:sz w:val="20"/>
      <w:szCs w:val="20"/>
    </w:rPr>
  </w:style>
  <w:style w:type="paragraph" w:customStyle="1" w:styleId="BodyText4">
    <w:name w:val="Body Text 4"/>
    <w:basedOn w:val="BodyText"/>
    <w:link w:val="BodyText4Char"/>
    <w:uiPriority w:val="54"/>
    <w:qFormat/>
    <w:rsid w:val="00563BA8"/>
    <w:pPr>
      <w:tabs>
        <w:tab w:val="left" w:pos="2160"/>
      </w:tabs>
      <w:ind w:left="2160"/>
    </w:pPr>
  </w:style>
  <w:style w:type="character" w:customStyle="1" w:styleId="BodyText4Char">
    <w:name w:val="Body Text 4 Char"/>
    <w:basedOn w:val="BodyTextChar"/>
    <w:link w:val="BodyText4"/>
    <w:uiPriority w:val="54"/>
    <w:rsid w:val="00563BA8"/>
    <w:rPr>
      <w:rFonts w:ascii="Arial" w:hAnsi="Arial"/>
      <w:sz w:val="20"/>
    </w:rPr>
  </w:style>
  <w:style w:type="paragraph" w:customStyle="1" w:styleId="BodyText4Hanging">
    <w:name w:val="Body Text 4 Hanging"/>
    <w:basedOn w:val="BodyText"/>
    <w:link w:val="BodyText4HangingChar"/>
    <w:uiPriority w:val="55"/>
    <w:rsid w:val="007F6D9D"/>
    <w:pPr>
      <w:tabs>
        <w:tab w:val="left" w:pos="1440"/>
      </w:tabs>
      <w:ind w:left="2160" w:hanging="2160"/>
    </w:pPr>
  </w:style>
  <w:style w:type="character" w:customStyle="1" w:styleId="BodyText4HangingChar">
    <w:name w:val="Body Text 4 Hanging Char"/>
    <w:basedOn w:val="BodyTextChar"/>
    <w:link w:val="BodyText4Hanging"/>
    <w:uiPriority w:val="55"/>
    <w:rsid w:val="007F6D9D"/>
    <w:rPr>
      <w:rFonts w:ascii="Arial" w:hAnsi="Arial"/>
      <w:sz w:val="20"/>
      <w:szCs w:val="20"/>
    </w:rPr>
  </w:style>
  <w:style w:type="paragraph" w:customStyle="1" w:styleId="BodyText5">
    <w:name w:val="Body Text 5"/>
    <w:basedOn w:val="BodyText"/>
    <w:link w:val="BodyText5Char"/>
    <w:uiPriority w:val="54"/>
    <w:qFormat/>
    <w:rsid w:val="00563BA8"/>
    <w:pPr>
      <w:tabs>
        <w:tab w:val="left" w:pos="2880"/>
      </w:tabs>
      <w:ind w:left="2880"/>
    </w:pPr>
  </w:style>
  <w:style w:type="character" w:customStyle="1" w:styleId="BodyText5Char">
    <w:name w:val="Body Text 5 Char"/>
    <w:basedOn w:val="BodyText4Char"/>
    <w:link w:val="BodyText5"/>
    <w:uiPriority w:val="54"/>
    <w:rsid w:val="00563BA8"/>
    <w:rPr>
      <w:rFonts w:ascii="Arial" w:hAnsi="Arial"/>
      <w:sz w:val="20"/>
    </w:rPr>
  </w:style>
  <w:style w:type="paragraph" w:customStyle="1" w:styleId="BodyText5Hanging">
    <w:name w:val="Body Text 5 Hanging"/>
    <w:basedOn w:val="BodyText"/>
    <w:link w:val="BodyText5HangingChar"/>
    <w:uiPriority w:val="55"/>
    <w:rsid w:val="007F6D9D"/>
    <w:pPr>
      <w:tabs>
        <w:tab w:val="left" w:pos="2160"/>
      </w:tabs>
      <w:ind w:left="2880" w:hanging="2880"/>
    </w:pPr>
  </w:style>
  <w:style w:type="character" w:customStyle="1" w:styleId="BodyText5HangingChar">
    <w:name w:val="Body Text 5 Hanging Char"/>
    <w:basedOn w:val="BodyTextChar"/>
    <w:link w:val="BodyText5Hanging"/>
    <w:uiPriority w:val="55"/>
    <w:rsid w:val="007F6D9D"/>
    <w:rPr>
      <w:rFonts w:ascii="Arial" w:hAnsi="Arial"/>
      <w:sz w:val="20"/>
      <w:szCs w:val="20"/>
    </w:rPr>
  </w:style>
  <w:style w:type="paragraph" w:customStyle="1" w:styleId="BodyText6">
    <w:name w:val="Body Text 6"/>
    <w:basedOn w:val="BodyText"/>
    <w:link w:val="BodyText6Char"/>
    <w:uiPriority w:val="54"/>
    <w:qFormat/>
    <w:rsid w:val="00563BA8"/>
    <w:pPr>
      <w:tabs>
        <w:tab w:val="left" w:pos="3600"/>
      </w:tabs>
      <w:ind w:left="3600"/>
    </w:pPr>
  </w:style>
  <w:style w:type="character" w:customStyle="1" w:styleId="BodyText6Char">
    <w:name w:val="Body Text 6 Char"/>
    <w:basedOn w:val="BodyTextChar"/>
    <w:link w:val="BodyText6"/>
    <w:uiPriority w:val="54"/>
    <w:rsid w:val="00563BA8"/>
    <w:rPr>
      <w:rFonts w:ascii="Arial" w:hAnsi="Arial"/>
      <w:sz w:val="20"/>
    </w:rPr>
  </w:style>
  <w:style w:type="paragraph" w:customStyle="1" w:styleId="BodyText6Hanging">
    <w:name w:val="Body Text 6 Hanging"/>
    <w:basedOn w:val="BodyText"/>
    <w:link w:val="BodyText6HangingChar"/>
    <w:uiPriority w:val="55"/>
    <w:rsid w:val="007F6D9D"/>
    <w:pPr>
      <w:tabs>
        <w:tab w:val="left" w:pos="2880"/>
      </w:tabs>
      <w:ind w:left="3600" w:hanging="3600"/>
    </w:pPr>
  </w:style>
  <w:style w:type="character" w:customStyle="1" w:styleId="BodyText6HangingChar">
    <w:name w:val="Body Text 6 Hanging Char"/>
    <w:basedOn w:val="BodyTextChar"/>
    <w:link w:val="BodyText6Hanging"/>
    <w:uiPriority w:val="55"/>
    <w:rsid w:val="007F6D9D"/>
    <w:rPr>
      <w:rFonts w:ascii="Arial" w:hAnsi="Arial"/>
      <w:sz w:val="20"/>
      <w:szCs w:val="20"/>
    </w:rPr>
  </w:style>
  <w:style w:type="paragraph" w:customStyle="1" w:styleId="BodyText7">
    <w:name w:val="Body Text 7"/>
    <w:basedOn w:val="BodyText"/>
    <w:link w:val="BodyText7Char"/>
    <w:uiPriority w:val="54"/>
    <w:qFormat/>
    <w:rsid w:val="00563BA8"/>
    <w:pPr>
      <w:tabs>
        <w:tab w:val="left" w:pos="4321"/>
      </w:tabs>
      <w:ind w:left="4321"/>
    </w:pPr>
  </w:style>
  <w:style w:type="character" w:customStyle="1" w:styleId="BodyText7Char">
    <w:name w:val="Body Text 7 Char"/>
    <w:basedOn w:val="BodyTextChar"/>
    <w:link w:val="BodyText7"/>
    <w:uiPriority w:val="54"/>
    <w:rsid w:val="00563BA8"/>
    <w:rPr>
      <w:rFonts w:ascii="Arial" w:hAnsi="Arial"/>
      <w:sz w:val="20"/>
    </w:rPr>
  </w:style>
  <w:style w:type="paragraph" w:customStyle="1" w:styleId="BodyText7Hanging">
    <w:name w:val="Body Text 7 Hanging"/>
    <w:basedOn w:val="BodyText"/>
    <w:link w:val="BodyText7HangingChar"/>
    <w:uiPriority w:val="55"/>
    <w:rsid w:val="007F6D9D"/>
    <w:pPr>
      <w:tabs>
        <w:tab w:val="left" w:pos="3600"/>
      </w:tabs>
      <w:ind w:left="4321" w:hanging="4321"/>
    </w:pPr>
  </w:style>
  <w:style w:type="character" w:customStyle="1" w:styleId="BodyText7HangingChar">
    <w:name w:val="Body Text 7 Hanging Char"/>
    <w:basedOn w:val="BodyTextChar"/>
    <w:link w:val="BodyText7Hanging"/>
    <w:uiPriority w:val="55"/>
    <w:rsid w:val="007F6D9D"/>
    <w:rPr>
      <w:rFonts w:ascii="Arial" w:hAnsi="Arial"/>
      <w:sz w:val="20"/>
      <w:szCs w:val="20"/>
    </w:rPr>
  </w:style>
  <w:style w:type="paragraph" w:customStyle="1" w:styleId="BodyText8">
    <w:name w:val="Body Text 8"/>
    <w:basedOn w:val="BodyText"/>
    <w:link w:val="BodyText8Char"/>
    <w:uiPriority w:val="54"/>
    <w:qFormat/>
    <w:rsid w:val="00563BA8"/>
    <w:pPr>
      <w:tabs>
        <w:tab w:val="left" w:pos="5041"/>
      </w:tabs>
      <w:ind w:left="5041"/>
    </w:pPr>
  </w:style>
  <w:style w:type="character" w:customStyle="1" w:styleId="BodyText8Char">
    <w:name w:val="Body Text 8 Char"/>
    <w:basedOn w:val="BodyTextChar"/>
    <w:link w:val="BodyText8"/>
    <w:uiPriority w:val="54"/>
    <w:rsid w:val="00563BA8"/>
    <w:rPr>
      <w:rFonts w:ascii="Arial" w:hAnsi="Arial"/>
      <w:sz w:val="20"/>
    </w:rPr>
  </w:style>
  <w:style w:type="paragraph" w:customStyle="1" w:styleId="BodyText8Hanging">
    <w:name w:val="Body Text 8 Hanging"/>
    <w:basedOn w:val="BodyText"/>
    <w:link w:val="BodyText8HangingChar"/>
    <w:uiPriority w:val="55"/>
    <w:rsid w:val="007F6D9D"/>
    <w:pPr>
      <w:tabs>
        <w:tab w:val="left" w:pos="4321"/>
      </w:tabs>
      <w:ind w:left="5041" w:hanging="5041"/>
    </w:pPr>
  </w:style>
  <w:style w:type="character" w:customStyle="1" w:styleId="BodyText8HangingChar">
    <w:name w:val="Body Text 8 Hanging Char"/>
    <w:basedOn w:val="BodyTextChar"/>
    <w:link w:val="BodyText8Hanging"/>
    <w:uiPriority w:val="55"/>
    <w:rsid w:val="007F6D9D"/>
    <w:rPr>
      <w:rFonts w:ascii="Arial" w:hAnsi="Arial"/>
      <w:sz w:val="20"/>
      <w:szCs w:val="20"/>
    </w:rPr>
  </w:style>
  <w:style w:type="paragraph" w:customStyle="1" w:styleId="Bullets1">
    <w:name w:val="Bullets 1"/>
    <w:basedOn w:val="BodyText"/>
    <w:uiPriority w:val="1"/>
    <w:qFormat/>
    <w:rsid w:val="00563BA8"/>
    <w:pPr>
      <w:numPr>
        <w:numId w:val="18"/>
      </w:numPr>
    </w:pPr>
  </w:style>
  <w:style w:type="paragraph" w:customStyle="1" w:styleId="Bullets2">
    <w:name w:val="Bullets 2"/>
    <w:basedOn w:val="BodyText"/>
    <w:uiPriority w:val="1"/>
    <w:qFormat/>
    <w:rsid w:val="00563BA8"/>
    <w:pPr>
      <w:numPr>
        <w:ilvl w:val="1"/>
        <w:numId w:val="18"/>
      </w:numPr>
    </w:pPr>
  </w:style>
  <w:style w:type="paragraph" w:customStyle="1" w:styleId="Bullets3">
    <w:name w:val="Bullets 3"/>
    <w:basedOn w:val="BodyText"/>
    <w:uiPriority w:val="1"/>
    <w:qFormat/>
    <w:rsid w:val="00563BA8"/>
    <w:pPr>
      <w:numPr>
        <w:ilvl w:val="2"/>
        <w:numId w:val="18"/>
      </w:numPr>
    </w:pPr>
  </w:style>
  <w:style w:type="paragraph" w:customStyle="1" w:styleId="Bullets4">
    <w:name w:val="Bullets 4"/>
    <w:basedOn w:val="BodyText"/>
    <w:uiPriority w:val="1"/>
    <w:qFormat/>
    <w:rsid w:val="00563BA8"/>
    <w:pPr>
      <w:numPr>
        <w:ilvl w:val="3"/>
        <w:numId w:val="18"/>
      </w:numPr>
    </w:pPr>
  </w:style>
  <w:style w:type="paragraph" w:customStyle="1" w:styleId="Bullets5">
    <w:name w:val="Bullets 5"/>
    <w:basedOn w:val="BodyText"/>
    <w:uiPriority w:val="1"/>
    <w:qFormat/>
    <w:rsid w:val="00563BA8"/>
    <w:pPr>
      <w:numPr>
        <w:ilvl w:val="4"/>
        <w:numId w:val="18"/>
      </w:numPr>
    </w:pPr>
  </w:style>
  <w:style w:type="paragraph" w:customStyle="1" w:styleId="Bullets6">
    <w:name w:val="Bullets 6"/>
    <w:basedOn w:val="BodyText"/>
    <w:uiPriority w:val="1"/>
    <w:qFormat/>
    <w:rsid w:val="00563BA8"/>
    <w:pPr>
      <w:numPr>
        <w:ilvl w:val="5"/>
        <w:numId w:val="18"/>
      </w:numPr>
    </w:pPr>
  </w:style>
  <w:style w:type="paragraph" w:customStyle="1" w:styleId="Bullets7">
    <w:name w:val="Bullets 7"/>
    <w:basedOn w:val="BodyText"/>
    <w:uiPriority w:val="1"/>
    <w:qFormat/>
    <w:rsid w:val="00563BA8"/>
    <w:pPr>
      <w:numPr>
        <w:ilvl w:val="6"/>
        <w:numId w:val="18"/>
      </w:numPr>
    </w:pPr>
  </w:style>
  <w:style w:type="paragraph" w:customStyle="1" w:styleId="Bullets8">
    <w:name w:val="Bullets 8"/>
    <w:basedOn w:val="BodyText"/>
    <w:uiPriority w:val="1"/>
    <w:qFormat/>
    <w:rsid w:val="00563BA8"/>
    <w:pPr>
      <w:numPr>
        <w:ilvl w:val="7"/>
        <w:numId w:val="18"/>
      </w:numPr>
    </w:pPr>
  </w:style>
  <w:style w:type="paragraph" w:customStyle="1" w:styleId="CentredHeadingCaps">
    <w:name w:val="Centred Heading Caps"/>
    <w:basedOn w:val="BodyText"/>
    <w:next w:val="BodyText"/>
    <w:uiPriority w:val="19"/>
    <w:rsid w:val="00531D5D"/>
    <w:pPr>
      <w:jc w:val="center"/>
      <w:outlineLvl w:val="0"/>
    </w:pPr>
    <w:rPr>
      <w:b/>
      <w:caps/>
      <w:sz w:val="24"/>
      <w:szCs w:val="24"/>
    </w:rPr>
  </w:style>
  <w:style w:type="paragraph" w:customStyle="1" w:styleId="CentredHeading">
    <w:name w:val="Centred Heading"/>
    <w:basedOn w:val="CentredHeadingCaps"/>
    <w:next w:val="BodyText"/>
    <w:uiPriority w:val="19"/>
    <w:rsid w:val="00AE6BF0"/>
    <w:rPr>
      <w:caps w:val="0"/>
    </w:rPr>
  </w:style>
  <w:style w:type="paragraph" w:customStyle="1" w:styleId="CentredHeadingCapsTOC">
    <w:name w:val="Centred Heading Caps (TOC)"/>
    <w:basedOn w:val="CentredHeadingCaps"/>
    <w:next w:val="BodyText"/>
    <w:uiPriority w:val="19"/>
    <w:rsid w:val="00AE6BF0"/>
  </w:style>
  <w:style w:type="paragraph" w:customStyle="1" w:styleId="CentredHeadingTOC">
    <w:name w:val="Centred Heading (TOC)"/>
    <w:basedOn w:val="CentredHeadingCapsTOC"/>
    <w:next w:val="BodyText"/>
    <w:uiPriority w:val="19"/>
    <w:rsid w:val="00AE6BF0"/>
    <w:rPr>
      <w:caps w:val="0"/>
    </w:rPr>
  </w:style>
  <w:style w:type="paragraph" w:customStyle="1" w:styleId="Definition">
    <w:name w:val="Definition"/>
    <w:basedOn w:val="BodyText"/>
    <w:uiPriority w:val="39"/>
    <w:qFormat/>
    <w:rsid w:val="00563BA8"/>
    <w:pPr>
      <w:numPr>
        <w:numId w:val="19"/>
      </w:numPr>
    </w:pPr>
  </w:style>
  <w:style w:type="paragraph" w:customStyle="1" w:styleId="Definition1">
    <w:name w:val="Definition 1"/>
    <w:basedOn w:val="BodyText"/>
    <w:uiPriority w:val="39"/>
    <w:qFormat/>
    <w:rsid w:val="00563BA8"/>
    <w:pPr>
      <w:numPr>
        <w:ilvl w:val="1"/>
        <w:numId w:val="19"/>
      </w:numPr>
    </w:pPr>
  </w:style>
  <w:style w:type="paragraph" w:customStyle="1" w:styleId="Definition2">
    <w:name w:val="Definition 2"/>
    <w:basedOn w:val="BodyText"/>
    <w:uiPriority w:val="39"/>
    <w:qFormat/>
    <w:rsid w:val="00563BA8"/>
    <w:pPr>
      <w:numPr>
        <w:ilvl w:val="2"/>
        <w:numId w:val="19"/>
      </w:numPr>
    </w:pPr>
  </w:style>
  <w:style w:type="paragraph" w:customStyle="1" w:styleId="Definition3">
    <w:name w:val="Definition 3"/>
    <w:basedOn w:val="BodyText"/>
    <w:uiPriority w:val="39"/>
    <w:qFormat/>
    <w:rsid w:val="00563BA8"/>
    <w:pPr>
      <w:numPr>
        <w:ilvl w:val="3"/>
        <w:numId w:val="19"/>
      </w:numPr>
    </w:pPr>
  </w:style>
  <w:style w:type="paragraph" w:customStyle="1" w:styleId="Definition4">
    <w:name w:val="Definition 4"/>
    <w:basedOn w:val="BodyText"/>
    <w:uiPriority w:val="39"/>
    <w:qFormat/>
    <w:rsid w:val="00563BA8"/>
    <w:pPr>
      <w:numPr>
        <w:ilvl w:val="4"/>
        <w:numId w:val="19"/>
      </w:numPr>
    </w:pPr>
  </w:style>
  <w:style w:type="paragraph" w:customStyle="1" w:styleId="Definition5">
    <w:name w:val="Definition 5"/>
    <w:basedOn w:val="BodyText"/>
    <w:uiPriority w:val="39"/>
    <w:qFormat/>
    <w:rsid w:val="00563BA8"/>
    <w:pPr>
      <w:numPr>
        <w:ilvl w:val="5"/>
        <w:numId w:val="19"/>
      </w:numPr>
    </w:pPr>
  </w:style>
  <w:style w:type="paragraph" w:customStyle="1" w:styleId="Definition6">
    <w:name w:val="Definition 6"/>
    <w:basedOn w:val="BodyText"/>
    <w:uiPriority w:val="39"/>
    <w:qFormat/>
    <w:rsid w:val="00563BA8"/>
    <w:pPr>
      <w:numPr>
        <w:ilvl w:val="6"/>
        <w:numId w:val="19"/>
      </w:numPr>
    </w:pPr>
  </w:style>
  <w:style w:type="character" w:customStyle="1" w:styleId="DefinitionTerm">
    <w:name w:val="Definition Term"/>
    <w:basedOn w:val="DefaultParagraphFont"/>
    <w:uiPriority w:val="38"/>
    <w:qFormat/>
    <w:rsid w:val="00563BA8"/>
    <w:rPr>
      <w:b/>
    </w:rPr>
  </w:style>
  <w:style w:type="paragraph" w:customStyle="1" w:styleId="Execution">
    <w:name w:val="Execution"/>
    <w:basedOn w:val="BodyText"/>
    <w:uiPriority w:val="91"/>
    <w:rsid w:val="00662D53"/>
    <w:pPr>
      <w:tabs>
        <w:tab w:val="right" w:pos="3969"/>
      </w:tabs>
      <w:spacing w:after="0"/>
    </w:pPr>
  </w:style>
  <w:style w:type="paragraph" w:customStyle="1" w:styleId="ExecutionTable">
    <w:name w:val="Execution Table"/>
    <w:basedOn w:val="BodyText"/>
    <w:uiPriority w:val="91"/>
    <w:rsid w:val="00662D53"/>
    <w:pPr>
      <w:keepNext/>
      <w:tabs>
        <w:tab w:val="right" w:leader="dot" w:pos="4536"/>
        <w:tab w:val="right" w:leader="dot" w:pos="9072"/>
      </w:tabs>
      <w:spacing w:after="0"/>
    </w:pPr>
  </w:style>
  <w:style w:type="character" w:customStyle="1" w:styleId="GuidanceNote">
    <w:name w:val="Guidance Note"/>
    <w:basedOn w:val="DefaultParagraphFont"/>
    <w:uiPriority w:val="91"/>
    <w:qFormat/>
    <w:rsid w:val="00563BA8"/>
    <w:rPr>
      <w:b/>
      <w:i/>
    </w:rPr>
  </w:style>
  <w:style w:type="paragraph" w:customStyle="1" w:styleId="IntroHeading">
    <w:name w:val="Intro Heading"/>
    <w:basedOn w:val="BodyText"/>
    <w:next w:val="BodyText"/>
    <w:uiPriority w:val="24"/>
    <w:rsid w:val="00AE6BF0"/>
    <w:pPr>
      <w:keepNext/>
    </w:pPr>
    <w:rPr>
      <w:b/>
    </w:rPr>
  </w:style>
  <w:style w:type="paragraph" w:customStyle="1" w:styleId="IntroText">
    <w:name w:val="Intro Text"/>
    <w:basedOn w:val="BodyText"/>
    <w:next w:val="BodyText"/>
    <w:uiPriority w:val="24"/>
    <w:rsid w:val="00662D53"/>
    <w:pPr>
      <w:tabs>
        <w:tab w:val="right" w:pos="9072"/>
      </w:tabs>
    </w:pPr>
  </w:style>
  <w:style w:type="paragraph" w:customStyle="1" w:styleId="Level1Heading">
    <w:name w:val="Level 1 Heading"/>
    <w:basedOn w:val="BodyText"/>
    <w:uiPriority w:val="49"/>
    <w:qFormat/>
    <w:rsid w:val="00DF494E"/>
    <w:pPr>
      <w:keepNext/>
      <w:numPr>
        <w:numId w:val="6"/>
      </w:numPr>
      <w:jc w:val="center"/>
      <w:outlineLvl w:val="0"/>
    </w:pPr>
    <w:rPr>
      <w:b/>
      <w:sz w:val="24"/>
    </w:rPr>
  </w:style>
  <w:style w:type="paragraph" w:customStyle="1" w:styleId="Level1Number">
    <w:name w:val="Level 1 Number"/>
    <w:basedOn w:val="Level1Heading"/>
    <w:uiPriority w:val="49"/>
    <w:qFormat/>
    <w:rsid w:val="00563BA8"/>
    <w:pPr>
      <w:keepNext w:val="0"/>
    </w:pPr>
    <w:rPr>
      <w:b w:val="0"/>
    </w:rPr>
  </w:style>
  <w:style w:type="paragraph" w:customStyle="1" w:styleId="Level2Number">
    <w:name w:val="Level 2 Number"/>
    <w:basedOn w:val="BodyText"/>
    <w:uiPriority w:val="49"/>
    <w:qFormat/>
    <w:rsid w:val="00DF494E"/>
    <w:pPr>
      <w:numPr>
        <w:ilvl w:val="1"/>
        <w:numId w:val="6"/>
      </w:numPr>
    </w:pPr>
  </w:style>
  <w:style w:type="paragraph" w:customStyle="1" w:styleId="Level2Heading">
    <w:name w:val="Level 2 Heading"/>
    <w:basedOn w:val="Level2Number"/>
    <w:uiPriority w:val="49"/>
    <w:qFormat/>
    <w:rsid w:val="00563BA8"/>
    <w:pPr>
      <w:keepNext/>
    </w:pPr>
    <w:rPr>
      <w:b/>
    </w:rPr>
  </w:style>
  <w:style w:type="paragraph" w:customStyle="1" w:styleId="Level3Number">
    <w:name w:val="Level 3 Number"/>
    <w:basedOn w:val="BodyText"/>
    <w:uiPriority w:val="49"/>
    <w:qFormat/>
    <w:rsid w:val="00DF494E"/>
    <w:pPr>
      <w:numPr>
        <w:ilvl w:val="2"/>
        <w:numId w:val="6"/>
      </w:numPr>
    </w:pPr>
  </w:style>
  <w:style w:type="paragraph" w:customStyle="1" w:styleId="Level3Heading">
    <w:name w:val="Level 3 Heading"/>
    <w:basedOn w:val="Level3Number"/>
    <w:uiPriority w:val="49"/>
    <w:qFormat/>
    <w:rsid w:val="00CE03A4"/>
    <w:pPr>
      <w:keepNext/>
    </w:pPr>
  </w:style>
  <w:style w:type="paragraph" w:customStyle="1" w:styleId="Level4Number">
    <w:name w:val="Level 4 Number"/>
    <w:basedOn w:val="BodyText"/>
    <w:uiPriority w:val="49"/>
    <w:qFormat/>
    <w:rsid w:val="00DF494E"/>
    <w:pPr>
      <w:numPr>
        <w:ilvl w:val="3"/>
        <w:numId w:val="6"/>
      </w:numPr>
    </w:pPr>
  </w:style>
  <w:style w:type="paragraph" w:customStyle="1" w:styleId="Level4Heading">
    <w:name w:val="Level 4 Heading"/>
    <w:basedOn w:val="Level4Number"/>
    <w:uiPriority w:val="49"/>
    <w:qFormat/>
    <w:rsid w:val="007B6A5B"/>
    <w:pPr>
      <w:keepNext/>
    </w:pPr>
  </w:style>
  <w:style w:type="paragraph" w:customStyle="1" w:styleId="Level5Number">
    <w:name w:val="Level 5 Number"/>
    <w:basedOn w:val="BodyText"/>
    <w:uiPriority w:val="49"/>
    <w:qFormat/>
    <w:rsid w:val="00DF494E"/>
    <w:pPr>
      <w:numPr>
        <w:ilvl w:val="4"/>
        <w:numId w:val="6"/>
      </w:numPr>
    </w:pPr>
  </w:style>
  <w:style w:type="paragraph" w:customStyle="1" w:styleId="Level5Heading">
    <w:name w:val="Level 5 Heading"/>
    <w:basedOn w:val="Level5Number"/>
    <w:uiPriority w:val="49"/>
    <w:qFormat/>
    <w:rsid w:val="00563BA8"/>
    <w:pPr>
      <w:keepNext/>
    </w:pPr>
    <w:rPr>
      <w:b/>
    </w:rPr>
  </w:style>
  <w:style w:type="paragraph" w:customStyle="1" w:styleId="Level6Number">
    <w:name w:val="Level 6 Number"/>
    <w:basedOn w:val="BodyText"/>
    <w:uiPriority w:val="49"/>
    <w:qFormat/>
    <w:rsid w:val="00DF494E"/>
    <w:pPr>
      <w:numPr>
        <w:ilvl w:val="5"/>
        <w:numId w:val="6"/>
      </w:numPr>
    </w:pPr>
  </w:style>
  <w:style w:type="paragraph" w:customStyle="1" w:styleId="Level7Number">
    <w:name w:val="Level 7 Number"/>
    <w:basedOn w:val="BodyText"/>
    <w:uiPriority w:val="49"/>
    <w:qFormat/>
    <w:rsid w:val="00DF494E"/>
    <w:pPr>
      <w:numPr>
        <w:ilvl w:val="6"/>
        <w:numId w:val="6"/>
      </w:numPr>
    </w:pPr>
  </w:style>
  <w:style w:type="paragraph" w:customStyle="1" w:styleId="Level8Number">
    <w:name w:val="Level 8 Number"/>
    <w:basedOn w:val="BodyText"/>
    <w:uiPriority w:val="49"/>
    <w:qFormat/>
    <w:rsid w:val="00DF494E"/>
    <w:pPr>
      <w:numPr>
        <w:ilvl w:val="7"/>
        <w:numId w:val="6"/>
      </w:numPr>
    </w:pPr>
  </w:style>
  <w:style w:type="table" w:styleId="TableGrid">
    <w:name w:val="Table Grid"/>
    <w:basedOn w:val="TableNormal"/>
    <w:uiPriority w:val="59"/>
    <w:rsid w:val="00B631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BodyText"/>
    <w:uiPriority w:val="72"/>
    <w:qFormat/>
    <w:rsid w:val="00B72508"/>
    <w:pPr>
      <w:numPr>
        <w:numId w:val="7"/>
      </w:numPr>
    </w:pPr>
  </w:style>
  <w:style w:type="paragraph" w:customStyle="1" w:styleId="Note2">
    <w:name w:val="Note 2"/>
    <w:basedOn w:val="BodyText"/>
    <w:uiPriority w:val="72"/>
    <w:qFormat/>
    <w:rsid w:val="00B72508"/>
    <w:pPr>
      <w:numPr>
        <w:ilvl w:val="1"/>
        <w:numId w:val="7"/>
      </w:numPr>
    </w:pPr>
  </w:style>
  <w:style w:type="paragraph" w:customStyle="1" w:styleId="Note3">
    <w:name w:val="Note 3"/>
    <w:basedOn w:val="BodyText"/>
    <w:uiPriority w:val="72"/>
    <w:qFormat/>
    <w:rsid w:val="00B72508"/>
    <w:pPr>
      <w:numPr>
        <w:ilvl w:val="2"/>
        <w:numId w:val="7"/>
      </w:numPr>
    </w:pPr>
  </w:style>
  <w:style w:type="paragraph" w:customStyle="1" w:styleId="Note4">
    <w:name w:val="Note 4"/>
    <w:basedOn w:val="BodyText"/>
    <w:uiPriority w:val="72"/>
    <w:qFormat/>
    <w:rsid w:val="00B72508"/>
    <w:pPr>
      <w:numPr>
        <w:ilvl w:val="3"/>
        <w:numId w:val="7"/>
      </w:numPr>
    </w:pPr>
  </w:style>
  <w:style w:type="paragraph" w:customStyle="1" w:styleId="Note5">
    <w:name w:val="Note 5"/>
    <w:basedOn w:val="BodyText"/>
    <w:uiPriority w:val="72"/>
    <w:qFormat/>
    <w:rsid w:val="00B72508"/>
    <w:pPr>
      <w:numPr>
        <w:ilvl w:val="4"/>
        <w:numId w:val="7"/>
      </w:numPr>
    </w:pPr>
  </w:style>
  <w:style w:type="paragraph" w:customStyle="1" w:styleId="Note6">
    <w:name w:val="Note 6"/>
    <w:basedOn w:val="BodyText"/>
    <w:uiPriority w:val="72"/>
    <w:qFormat/>
    <w:rsid w:val="00B72508"/>
    <w:pPr>
      <w:numPr>
        <w:ilvl w:val="5"/>
        <w:numId w:val="7"/>
      </w:numPr>
    </w:pPr>
  </w:style>
  <w:style w:type="paragraph" w:customStyle="1" w:styleId="Note7">
    <w:name w:val="Note 7"/>
    <w:basedOn w:val="BodyText"/>
    <w:uiPriority w:val="72"/>
    <w:qFormat/>
    <w:rsid w:val="00B72508"/>
    <w:pPr>
      <w:numPr>
        <w:ilvl w:val="6"/>
        <w:numId w:val="7"/>
      </w:numPr>
    </w:pPr>
  </w:style>
  <w:style w:type="paragraph" w:customStyle="1" w:styleId="Note8">
    <w:name w:val="Note 8"/>
    <w:basedOn w:val="BodyText"/>
    <w:uiPriority w:val="72"/>
    <w:qFormat/>
    <w:rsid w:val="00B72508"/>
    <w:pPr>
      <w:numPr>
        <w:ilvl w:val="7"/>
        <w:numId w:val="7"/>
      </w:numPr>
    </w:pPr>
  </w:style>
  <w:style w:type="numbering" w:customStyle="1" w:styleId="NumberingAppendixHeadings">
    <w:name w:val="Numbering Appendix Headings"/>
    <w:uiPriority w:val="99"/>
    <w:rsid w:val="00B23A6C"/>
    <w:pPr>
      <w:numPr>
        <w:numId w:val="2"/>
      </w:numPr>
    </w:pPr>
  </w:style>
  <w:style w:type="numbering" w:customStyle="1" w:styleId="NumberingBackground">
    <w:name w:val="Numbering Background"/>
    <w:uiPriority w:val="99"/>
    <w:rsid w:val="00AE6BF0"/>
    <w:pPr>
      <w:numPr>
        <w:numId w:val="3"/>
      </w:numPr>
    </w:pPr>
  </w:style>
  <w:style w:type="numbering" w:customStyle="1" w:styleId="NumberingBullets">
    <w:name w:val="Numbering Bullets"/>
    <w:uiPriority w:val="99"/>
    <w:rsid w:val="00AE6BF0"/>
    <w:pPr>
      <w:numPr>
        <w:numId w:val="4"/>
      </w:numPr>
    </w:pPr>
  </w:style>
  <w:style w:type="numbering" w:customStyle="1" w:styleId="NumberingDefinitions">
    <w:name w:val="Numbering Definitions"/>
    <w:uiPriority w:val="99"/>
    <w:rsid w:val="00AE6BF0"/>
    <w:pPr>
      <w:numPr>
        <w:numId w:val="5"/>
      </w:numPr>
    </w:pPr>
  </w:style>
  <w:style w:type="numbering" w:customStyle="1" w:styleId="NumberingMain">
    <w:name w:val="Numbering Main"/>
    <w:uiPriority w:val="99"/>
    <w:rsid w:val="00DF494E"/>
    <w:pPr>
      <w:numPr>
        <w:numId w:val="30"/>
      </w:numPr>
    </w:pPr>
  </w:style>
  <w:style w:type="numbering" w:customStyle="1" w:styleId="NumberingNotes">
    <w:name w:val="Numbering Notes"/>
    <w:uiPriority w:val="99"/>
    <w:rsid w:val="00B72508"/>
    <w:pPr>
      <w:numPr>
        <w:numId w:val="7"/>
      </w:numPr>
    </w:pPr>
  </w:style>
  <w:style w:type="numbering" w:customStyle="1" w:styleId="NumberingParties">
    <w:name w:val="Numbering Parties"/>
    <w:uiPriority w:val="99"/>
    <w:rsid w:val="00AE6BF0"/>
    <w:pPr>
      <w:numPr>
        <w:numId w:val="8"/>
      </w:numPr>
    </w:pPr>
  </w:style>
  <w:style w:type="numbering" w:customStyle="1" w:styleId="NumberingPrecedentNotes">
    <w:name w:val="Numbering Precedent Notes"/>
    <w:uiPriority w:val="99"/>
    <w:rsid w:val="00AE6BF0"/>
    <w:pPr>
      <w:numPr>
        <w:numId w:val="9"/>
      </w:numPr>
    </w:pPr>
  </w:style>
  <w:style w:type="numbering" w:customStyle="1" w:styleId="NumberingSchedules">
    <w:name w:val="Numbering Schedules"/>
    <w:uiPriority w:val="99"/>
    <w:rsid w:val="00AE6BF0"/>
    <w:pPr>
      <w:numPr>
        <w:numId w:val="10"/>
      </w:numPr>
    </w:pPr>
  </w:style>
  <w:style w:type="numbering" w:customStyle="1" w:styleId="NumberingSchedulesHeadings">
    <w:name w:val="Numbering Schedules Headings"/>
    <w:uiPriority w:val="99"/>
    <w:rsid w:val="00AE6BF0"/>
    <w:pPr>
      <w:numPr>
        <w:numId w:val="11"/>
      </w:numPr>
    </w:pPr>
  </w:style>
  <w:style w:type="numbering" w:customStyle="1" w:styleId="NumberingTheAppendix">
    <w:name w:val="Numbering The Appendix"/>
    <w:uiPriority w:val="99"/>
    <w:rsid w:val="00AE6BF0"/>
    <w:pPr>
      <w:numPr>
        <w:numId w:val="12"/>
      </w:numPr>
    </w:pPr>
  </w:style>
  <w:style w:type="numbering" w:customStyle="1" w:styleId="NumberingTheSchedule">
    <w:name w:val="Numbering The Schedule"/>
    <w:uiPriority w:val="99"/>
    <w:rsid w:val="00AE6BF0"/>
    <w:pPr>
      <w:numPr>
        <w:numId w:val="13"/>
      </w:numPr>
    </w:pPr>
  </w:style>
  <w:style w:type="paragraph" w:customStyle="1" w:styleId="Parties1">
    <w:name w:val="Parties 1"/>
    <w:basedOn w:val="BodyText"/>
    <w:uiPriority w:val="19"/>
    <w:rsid w:val="00563BA8"/>
    <w:pPr>
      <w:numPr>
        <w:numId w:val="25"/>
      </w:numPr>
    </w:pPr>
  </w:style>
  <w:style w:type="paragraph" w:customStyle="1" w:styleId="Parties2">
    <w:name w:val="Parties 2"/>
    <w:basedOn w:val="BodyText"/>
    <w:uiPriority w:val="19"/>
    <w:rsid w:val="00563BA8"/>
    <w:pPr>
      <w:numPr>
        <w:ilvl w:val="1"/>
        <w:numId w:val="25"/>
      </w:numPr>
    </w:pPr>
  </w:style>
  <w:style w:type="paragraph" w:customStyle="1" w:styleId="PrecedentNotes1">
    <w:name w:val="Precedent Notes 1"/>
    <w:basedOn w:val="BodyText"/>
    <w:uiPriority w:val="90"/>
    <w:qFormat/>
    <w:rsid w:val="00563BA8"/>
    <w:pPr>
      <w:numPr>
        <w:numId w:val="20"/>
      </w:numPr>
    </w:pPr>
  </w:style>
  <w:style w:type="paragraph" w:customStyle="1" w:styleId="PrecedentNotes2">
    <w:name w:val="Precedent Notes 2"/>
    <w:basedOn w:val="BodyText"/>
    <w:uiPriority w:val="90"/>
    <w:qFormat/>
    <w:rsid w:val="00563BA8"/>
    <w:pPr>
      <w:numPr>
        <w:ilvl w:val="1"/>
        <w:numId w:val="20"/>
      </w:numPr>
    </w:pPr>
  </w:style>
  <w:style w:type="paragraph" w:customStyle="1" w:styleId="PrecedentNotes3">
    <w:name w:val="Precedent Notes 3"/>
    <w:basedOn w:val="BodyText"/>
    <w:uiPriority w:val="90"/>
    <w:qFormat/>
    <w:rsid w:val="00563BA8"/>
    <w:pPr>
      <w:numPr>
        <w:ilvl w:val="2"/>
        <w:numId w:val="20"/>
      </w:numPr>
    </w:pPr>
  </w:style>
  <w:style w:type="paragraph" w:customStyle="1" w:styleId="PrecedentNotes4">
    <w:name w:val="Precedent Notes 4"/>
    <w:basedOn w:val="BodyText"/>
    <w:uiPriority w:val="90"/>
    <w:qFormat/>
    <w:rsid w:val="00563BA8"/>
    <w:pPr>
      <w:numPr>
        <w:ilvl w:val="3"/>
        <w:numId w:val="20"/>
      </w:numPr>
    </w:pPr>
  </w:style>
  <w:style w:type="paragraph" w:customStyle="1" w:styleId="Sch1Heading">
    <w:name w:val="Sch 1 Heading"/>
    <w:basedOn w:val="BodyText"/>
    <w:uiPriority w:val="79"/>
    <w:qFormat/>
    <w:rsid w:val="006D783F"/>
    <w:pPr>
      <w:keepNext/>
      <w:numPr>
        <w:ilvl w:val="1"/>
        <w:numId w:val="23"/>
      </w:numPr>
      <w:outlineLvl w:val="2"/>
    </w:pPr>
    <w:rPr>
      <w:b/>
    </w:rPr>
  </w:style>
  <w:style w:type="paragraph" w:customStyle="1" w:styleId="Sch2Number">
    <w:name w:val="Sch 2 Number"/>
    <w:basedOn w:val="BodyText"/>
    <w:uiPriority w:val="79"/>
    <w:qFormat/>
    <w:rsid w:val="00563BA8"/>
    <w:pPr>
      <w:numPr>
        <w:ilvl w:val="2"/>
        <w:numId w:val="23"/>
      </w:numPr>
    </w:pPr>
  </w:style>
  <w:style w:type="paragraph" w:customStyle="1" w:styleId="Sch3Number">
    <w:name w:val="Sch 3 Number"/>
    <w:basedOn w:val="BodyText"/>
    <w:uiPriority w:val="79"/>
    <w:qFormat/>
    <w:rsid w:val="00563BA8"/>
    <w:pPr>
      <w:numPr>
        <w:ilvl w:val="3"/>
        <w:numId w:val="23"/>
      </w:numPr>
    </w:pPr>
  </w:style>
  <w:style w:type="paragraph" w:customStyle="1" w:styleId="Sch4Number">
    <w:name w:val="Sch 4 Number"/>
    <w:basedOn w:val="BodyText"/>
    <w:uiPriority w:val="79"/>
    <w:qFormat/>
    <w:rsid w:val="00563BA8"/>
    <w:pPr>
      <w:numPr>
        <w:ilvl w:val="4"/>
        <w:numId w:val="23"/>
      </w:numPr>
    </w:pPr>
  </w:style>
  <w:style w:type="paragraph" w:customStyle="1" w:styleId="Sch5Number">
    <w:name w:val="Sch 5 Number"/>
    <w:basedOn w:val="BodyText"/>
    <w:uiPriority w:val="79"/>
    <w:qFormat/>
    <w:rsid w:val="00563BA8"/>
    <w:pPr>
      <w:numPr>
        <w:ilvl w:val="5"/>
        <w:numId w:val="23"/>
      </w:numPr>
    </w:pPr>
  </w:style>
  <w:style w:type="paragraph" w:customStyle="1" w:styleId="Sch6Number">
    <w:name w:val="Sch 6 Number"/>
    <w:basedOn w:val="BodyText"/>
    <w:uiPriority w:val="79"/>
    <w:qFormat/>
    <w:rsid w:val="00563BA8"/>
    <w:pPr>
      <w:numPr>
        <w:ilvl w:val="6"/>
        <w:numId w:val="23"/>
      </w:numPr>
    </w:pPr>
  </w:style>
  <w:style w:type="paragraph" w:customStyle="1" w:styleId="Sch7Number">
    <w:name w:val="Sch 7 Number"/>
    <w:basedOn w:val="BodyText"/>
    <w:uiPriority w:val="79"/>
    <w:qFormat/>
    <w:rsid w:val="00563BA8"/>
    <w:pPr>
      <w:numPr>
        <w:ilvl w:val="7"/>
        <w:numId w:val="23"/>
      </w:numPr>
    </w:pPr>
  </w:style>
  <w:style w:type="paragraph" w:customStyle="1" w:styleId="Schedule">
    <w:name w:val="Schedule"/>
    <w:basedOn w:val="BodyText"/>
    <w:next w:val="ScheduleSub"/>
    <w:uiPriority w:val="75"/>
    <w:qFormat/>
    <w:rsid w:val="00563BA8"/>
    <w:pPr>
      <w:keepNext/>
      <w:numPr>
        <w:numId w:val="21"/>
      </w:numPr>
      <w:jc w:val="center"/>
      <w:outlineLvl w:val="0"/>
    </w:pPr>
    <w:rPr>
      <w:b/>
    </w:rPr>
  </w:style>
  <w:style w:type="paragraph" w:customStyle="1" w:styleId="SchedulePart">
    <w:name w:val="Schedule Part"/>
    <w:basedOn w:val="BodyText"/>
    <w:next w:val="Sch1Heading"/>
    <w:uiPriority w:val="78"/>
    <w:qFormat/>
    <w:rsid w:val="006D783F"/>
    <w:pPr>
      <w:keepNext/>
      <w:numPr>
        <w:ilvl w:val="1"/>
        <w:numId w:val="21"/>
      </w:numPr>
      <w:jc w:val="center"/>
      <w:outlineLvl w:val="1"/>
    </w:pPr>
    <w:rPr>
      <w:b/>
    </w:rPr>
  </w:style>
  <w:style w:type="paragraph" w:customStyle="1" w:styleId="ScheduleSub">
    <w:name w:val="Schedule Sub"/>
    <w:basedOn w:val="BodyText"/>
    <w:next w:val="Sch1Heading"/>
    <w:uiPriority w:val="77"/>
    <w:qFormat/>
    <w:rsid w:val="00563BA8"/>
    <w:pPr>
      <w:keepNext/>
      <w:numPr>
        <w:numId w:val="23"/>
      </w:numPr>
      <w:jc w:val="center"/>
      <w:outlineLvl w:val="1"/>
    </w:pPr>
    <w:rPr>
      <w:b/>
    </w:rPr>
  </w:style>
  <w:style w:type="paragraph" w:customStyle="1" w:styleId="ScheduleThe">
    <w:name w:val="Schedule The"/>
    <w:basedOn w:val="BodyText"/>
    <w:next w:val="ScheduleSub"/>
    <w:uiPriority w:val="76"/>
    <w:qFormat/>
    <w:rsid w:val="00563BA8"/>
    <w:pPr>
      <w:keepNext/>
      <w:numPr>
        <w:numId w:val="22"/>
      </w:numPr>
      <w:jc w:val="center"/>
    </w:pPr>
    <w:rPr>
      <w:b/>
    </w:rPr>
  </w:style>
  <w:style w:type="paragraph" w:customStyle="1" w:styleId="Sch1Number">
    <w:name w:val="Sch 1 Number"/>
    <w:basedOn w:val="Sch1Heading"/>
    <w:uiPriority w:val="79"/>
    <w:qFormat/>
    <w:rsid w:val="00563BA8"/>
    <w:pPr>
      <w:keepNext w:val="0"/>
    </w:pPr>
    <w:rPr>
      <w:b w:val="0"/>
    </w:rPr>
  </w:style>
  <w:style w:type="paragraph" w:customStyle="1" w:styleId="Sch2Heading">
    <w:name w:val="Sch 2 Heading"/>
    <w:basedOn w:val="Sch2Number"/>
    <w:uiPriority w:val="79"/>
    <w:qFormat/>
    <w:rsid w:val="00563BA8"/>
    <w:pPr>
      <w:keepNext/>
    </w:pPr>
    <w:rPr>
      <w:b/>
    </w:rPr>
  </w:style>
  <w:style w:type="paragraph" w:customStyle="1" w:styleId="Sch3Heading">
    <w:name w:val="Sch 3 Heading"/>
    <w:basedOn w:val="Sch3Number"/>
    <w:uiPriority w:val="79"/>
    <w:qFormat/>
    <w:rsid w:val="00563BA8"/>
    <w:pPr>
      <w:keepNext/>
    </w:pPr>
    <w:rPr>
      <w:b/>
    </w:rPr>
  </w:style>
  <w:style w:type="paragraph" w:customStyle="1" w:styleId="Sch4Heading">
    <w:name w:val="Sch 4 Heading"/>
    <w:basedOn w:val="Sch4Number"/>
    <w:uiPriority w:val="79"/>
    <w:qFormat/>
    <w:rsid w:val="00563BA8"/>
    <w:pPr>
      <w:keepNext/>
    </w:pPr>
    <w:rPr>
      <w:b/>
    </w:rPr>
  </w:style>
  <w:style w:type="paragraph" w:customStyle="1" w:styleId="Sch5Heading">
    <w:name w:val="Sch 5 Heading"/>
    <w:basedOn w:val="Sch5Number"/>
    <w:uiPriority w:val="79"/>
    <w:qFormat/>
    <w:rsid w:val="00563BA8"/>
    <w:pPr>
      <w:keepNext/>
    </w:pPr>
    <w:rPr>
      <w:b/>
    </w:rPr>
  </w:style>
  <w:style w:type="paragraph" w:customStyle="1" w:styleId="SectionHeading">
    <w:name w:val="Section Heading"/>
    <w:basedOn w:val="BodyText"/>
    <w:next w:val="BodyText"/>
    <w:uiPriority w:val="48"/>
    <w:qFormat/>
    <w:rsid w:val="00CB4289"/>
    <w:pPr>
      <w:numPr>
        <w:numId w:val="24"/>
      </w:numPr>
      <w:jc w:val="center"/>
      <w:outlineLvl w:val="0"/>
    </w:pPr>
    <w:rPr>
      <w:b/>
      <w:caps/>
      <w:sz w:val="24"/>
      <w:szCs w:val="24"/>
    </w:rPr>
  </w:style>
  <w:style w:type="numbering" w:customStyle="1" w:styleId="SectionList">
    <w:name w:val="Section List"/>
    <w:uiPriority w:val="99"/>
    <w:rsid w:val="00AE6BF0"/>
    <w:pPr>
      <w:numPr>
        <w:numId w:val="14"/>
      </w:numPr>
    </w:pPr>
  </w:style>
  <w:style w:type="paragraph" w:styleId="TOC1">
    <w:name w:val="toc 1"/>
    <w:basedOn w:val="Normal"/>
    <w:next w:val="Normal"/>
    <w:uiPriority w:val="39"/>
    <w:rsid w:val="009350F4"/>
    <w:pPr>
      <w:tabs>
        <w:tab w:val="left" w:pos="720"/>
        <w:tab w:val="right" w:leader="dot" w:pos="9072"/>
      </w:tabs>
      <w:ind w:left="720" w:right="357" w:hanging="720"/>
    </w:pPr>
    <w:rPr>
      <w:rFonts w:ascii="Calibri" w:hAnsi="Calibri"/>
      <w:sz w:val="22"/>
    </w:rPr>
  </w:style>
  <w:style w:type="paragraph" w:styleId="TOC2">
    <w:name w:val="toc 2"/>
    <w:basedOn w:val="Normal"/>
    <w:next w:val="Normal"/>
    <w:uiPriority w:val="99"/>
    <w:semiHidden/>
    <w:rsid w:val="00990EA0"/>
    <w:pPr>
      <w:tabs>
        <w:tab w:val="left" w:pos="720"/>
        <w:tab w:val="left" w:pos="1440"/>
        <w:tab w:val="right" w:leader="dot" w:pos="9072"/>
      </w:tabs>
      <w:ind w:left="1440" w:right="357" w:hanging="720"/>
    </w:pPr>
  </w:style>
  <w:style w:type="paragraph" w:styleId="TOC3">
    <w:name w:val="toc 3"/>
    <w:basedOn w:val="Normal"/>
    <w:next w:val="Normal"/>
    <w:uiPriority w:val="99"/>
    <w:semiHidden/>
    <w:rsid w:val="00990EA0"/>
    <w:pPr>
      <w:tabs>
        <w:tab w:val="left" w:pos="1440"/>
        <w:tab w:val="left" w:pos="2160"/>
        <w:tab w:val="right" w:leader="dot" w:pos="9072"/>
      </w:tabs>
      <w:ind w:left="2160" w:right="357" w:hanging="720"/>
    </w:pPr>
  </w:style>
  <w:style w:type="paragraph" w:styleId="TOC4">
    <w:name w:val="toc 4"/>
    <w:basedOn w:val="Normal"/>
    <w:next w:val="Normal"/>
    <w:uiPriority w:val="39"/>
    <w:rsid w:val="00990EA0"/>
    <w:pPr>
      <w:tabs>
        <w:tab w:val="left" w:pos="2160"/>
        <w:tab w:val="left" w:pos="2880"/>
        <w:tab w:val="right" w:leader="dot" w:pos="9072"/>
      </w:tabs>
      <w:ind w:left="2880" w:right="357" w:hanging="720"/>
    </w:pPr>
  </w:style>
  <w:style w:type="paragraph" w:styleId="TOC5">
    <w:name w:val="toc 5"/>
    <w:basedOn w:val="Normal"/>
    <w:next w:val="Normal"/>
    <w:uiPriority w:val="99"/>
    <w:semiHidden/>
    <w:rsid w:val="00C37C62"/>
    <w:pPr>
      <w:tabs>
        <w:tab w:val="left" w:pos="720"/>
        <w:tab w:val="right" w:leader="dot" w:pos="9072"/>
      </w:tabs>
      <w:ind w:left="720"/>
    </w:pPr>
  </w:style>
  <w:style w:type="paragraph" w:styleId="TOC6">
    <w:name w:val="toc 6"/>
    <w:basedOn w:val="Normal"/>
    <w:next w:val="Normal"/>
    <w:uiPriority w:val="39"/>
    <w:rsid w:val="00AE6BF0"/>
    <w:pPr>
      <w:keepNext/>
      <w:tabs>
        <w:tab w:val="right" w:pos="10206"/>
      </w:tabs>
      <w:spacing w:before="240"/>
      <w:ind w:right="357"/>
    </w:pPr>
  </w:style>
  <w:style w:type="paragraph" w:styleId="TOC7">
    <w:name w:val="toc 7"/>
    <w:basedOn w:val="TOC5"/>
    <w:next w:val="Normal"/>
    <w:uiPriority w:val="39"/>
    <w:rsid w:val="00AE6BF0"/>
    <w:rPr>
      <w:noProof/>
    </w:rPr>
  </w:style>
  <w:style w:type="paragraph" w:styleId="TOC8">
    <w:name w:val="toc 8"/>
    <w:basedOn w:val="Normal"/>
    <w:next w:val="Normal"/>
    <w:uiPriority w:val="99"/>
    <w:semiHidden/>
    <w:rsid w:val="00AE6BF0"/>
    <w:pPr>
      <w:numPr>
        <w:numId w:val="15"/>
      </w:numPr>
      <w:tabs>
        <w:tab w:val="right" w:pos="10206"/>
      </w:tabs>
      <w:ind w:right="357"/>
    </w:pPr>
  </w:style>
  <w:style w:type="paragraph" w:styleId="TOC9">
    <w:name w:val="toc 9"/>
    <w:basedOn w:val="Normal"/>
    <w:next w:val="Normal"/>
    <w:uiPriority w:val="99"/>
    <w:semiHidden/>
    <w:rsid w:val="00AE6BF0"/>
    <w:pPr>
      <w:tabs>
        <w:tab w:val="right" w:leader="dot" w:pos="10194"/>
      </w:tabs>
      <w:ind w:left="720"/>
    </w:pPr>
    <w:rPr>
      <w:b/>
    </w:rPr>
  </w:style>
  <w:style w:type="character" w:customStyle="1" w:styleId="Heading1Char">
    <w:name w:val="Heading 1 Char"/>
    <w:basedOn w:val="DefaultParagraphFont"/>
    <w:link w:val="Heading1"/>
    <w:uiPriority w:val="92"/>
    <w:rsid w:val="00A8753F"/>
    <w:rPr>
      <w:rFonts w:eastAsia="Times New Roman" w:cs="Arial"/>
      <w:b/>
      <w:bCs/>
      <w:caps/>
      <w:color w:val="435B76" w:themeColor="text2"/>
      <w:sz w:val="32"/>
      <w:szCs w:val="32"/>
      <w:lang w:eastAsia="en-US"/>
    </w:rPr>
  </w:style>
  <w:style w:type="paragraph" w:styleId="TOCHeading">
    <w:name w:val="TOC Heading"/>
    <w:basedOn w:val="BodyText"/>
    <w:next w:val="Normal"/>
    <w:uiPriority w:val="99"/>
    <w:qFormat/>
    <w:rsid w:val="00AE6BF0"/>
    <w:pPr>
      <w:jc w:val="center"/>
    </w:pPr>
    <w:rPr>
      <w:b/>
    </w:rPr>
  </w:style>
  <w:style w:type="paragraph" w:customStyle="1" w:styleId="TOCSubHeading">
    <w:name w:val="TOC Sub Heading"/>
    <w:basedOn w:val="BodyText"/>
    <w:next w:val="TOC1"/>
    <w:uiPriority w:val="99"/>
    <w:rsid w:val="00662D53"/>
    <w:pPr>
      <w:tabs>
        <w:tab w:val="left" w:pos="720"/>
        <w:tab w:val="right" w:pos="9072"/>
      </w:tabs>
      <w:ind w:left="720"/>
      <w:jc w:val="left"/>
    </w:pPr>
    <w:rPr>
      <w:b/>
    </w:rPr>
  </w:style>
  <w:style w:type="paragraph" w:customStyle="1" w:styleId="FileName">
    <w:name w:val="File Name"/>
    <w:basedOn w:val="Normal"/>
    <w:link w:val="FileNameChar"/>
    <w:uiPriority w:val="59"/>
    <w:semiHidden/>
    <w:qFormat/>
    <w:rsid w:val="00563BA8"/>
    <w:pPr>
      <w:spacing w:after="240"/>
    </w:pPr>
    <w:rPr>
      <w:sz w:val="12"/>
    </w:rPr>
  </w:style>
  <w:style w:type="character" w:customStyle="1" w:styleId="FileNameChar">
    <w:name w:val="File Name Char"/>
    <w:basedOn w:val="DefaultParagraphFont"/>
    <w:link w:val="FileName"/>
    <w:uiPriority w:val="59"/>
    <w:semiHidden/>
    <w:rsid w:val="00563BA8"/>
    <w:rPr>
      <w:rFonts w:ascii="Arial" w:hAnsi="Arial"/>
      <w:sz w:val="12"/>
    </w:rPr>
  </w:style>
  <w:style w:type="paragraph" w:styleId="Footer">
    <w:name w:val="footer"/>
    <w:basedOn w:val="Normal"/>
    <w:link w:val="FooterChar"/>
    <w:uiPriority w:val="99"/>
    <w:rsid w:val="00662D53"/>
    <w:pPr>
      <w:tabs>
        <w:tab w:val="center" w:pos="4536"/>
        <w:tab w:val="right" w:pos="9072"/>
      </w:tabs>
    </w:pPr>
    <w:rPr>
      <w:sz w:val="12"/>
    </w:rPr>
  </w:style>
  <w:style w:type="character" w:customStyle="1" w:styleId="FooterChar">
    <w:name w:val="Footer Char"/>
    <w:basedOn w:val="DefaultParagraphFont"/>
    <w:link w:val="Footer"/>
    <w:uiPriority w:val="99"/>
    <w:rsid w:val="00662D53"/>
    <w:rPr>
      <w:sz w:val="12"/>
    </w:rPr>
  </w:style>
  <w:style w:type="character" w:styleId="FootnoteReference">
    <w:name w:val="footnote reference"/>
    <w:uiPriority w:val="99"/>
    <w:rsid w:val="003C33E2"/>
    <w:rPr>
      <w:vertAlign w:val="superscript"/>
    </w:rPr>
  </w:style>
  <w:style w:type="paragraph" w:styleId="FootnoteText">
    <w:name w:val="footnote text"/>
    <w:link w:val="FootnoteTextChar"/>
    <w:uiPriority w:val="99"/>
    <w:rsid w:val="003C33E2"/>
    <w:pPr>
      <w:spacing w:after="200" w:line="276" w:lineRule="auto"/>
      <w:ind w:left="720" w:hanging="720"/>
    </w:pPr>
    <w:rPr>
      <w:sz w:val="16"/>
    </w:rPr>
  </w:style>
  <w:style w:type="character" w:customStyle="1" w:styleId="FootnoteTextChar">
    <w:name w:val="Footnote Text Char"/>
    <w:basedOn w:val="DefaultParagraphFont"/>
    <w:link w:val="FootnoteText"/>
    <w:uiPriority w:val="99"/>
    <w:rsid w:val="003C33E2"/>
    <w:rPr>
      <w:sz w:val="16"/>
    </w:rPr>
  </w:style>
  <w:style w:type="paragraph" w:styleId="Header">
    <w:name w:val="header"/>
    <w:basedOn w:val="Normal"/>
    <w:link w:val="HeaderChar"/>
    <w:uiPriority w:val="99"/>
    <w:rsid w:val="00662D53"/>
    <w:pPr>
      <w:tabs>
        <w:tab w:val="right" w:pos="9072"/>
      </w:tabs>
    </w:pPr>
  </w:style>
  <w:style w:type="character" w:customStyle="1" w:styleId="HeaderChar">
    <w:name w:val="Header Char"/>
    <w:basedOn w:val="DefaultParagraphFont"/>
    <w:link w:val="Header"/>
    <w:uiPriority w:val="99"/>
    <w:rsid w:val="00662D53"/>
    <w:rPr>
      <w:sz w:val="20"/>
    </w:rPr>
  </w:style>
  <w:style w:type="character" w:styleId="PageNumber">
    <w:name w:val="page number"/>
    <w:basedOn w:val="DefaultParagraphFont"/>
    <w:uiPriority w:val="99"/>
    <w:rsid w:val="005C35C5"/>
    <w:rPr>
      <w:rFonts w:ascii="Arial" w:hAnsi="Arial"/>
      <w:sz w:val="20"/>
    </w:rPr>
  </w:style>
  <w:style w:type="character" w:styleId="PlaceholderText">
    <w:name w:val="Placeholder Text"/>
    <w:basedOn w:val="DefaultParagraphFont"/>
    <w:uiPriority w:val="99"/>
    <w:semiHidden/>
    <w:rsid w:val="00626280"/>
    <w:rPr>
      <w:color w:val="808080"/>
    </w:rPr>
  </w:style>
  <w:style w:type="character" w:customStyle="1" w:styleId="TextColour">
    <w:name w:val="Text Colour"/>
    <w:basedOn w:val="DefaultParagraphFont"/>
    <w:uiPriority w:val="53"/>
    <w:semiHidden/>
    <w:rsid w:val="00AE2DF0"/>
    <w:rPr>
      <w:rFonts w:ascii="Arial" w:hAnsi="Arial"/>
      <w:color w:val="435B76" w:themeColor="text2"/>
      <w:spacing w:val="0"/>
      <w:w w:val="100"/>
      <w:kern w:val="0"/>
      <w:sz w:val="20"/>
    </w:rPr>
  </w:style>
  <w:style w:type="paragraph" w:styleId="Subtitle">
    <w:name w:val="Subtitle"/>
    <w:basedOn w:val="BodyColour"/>
    <w:next w:val="BodyText"/>
    <w:link w:val="SubtitleChar"/>
    <w:uiPriority w:val="97"/>
    <w:rsid w:val="00AD6CC8"/>
    <w:pPr>
      <w:numPr>
        <w:ilvl w:val="1"/>
      </w:numPr>
    </w:pPr>
    <w:rPr>
      <w:rFonts w:eastAsiaTheme="majorEastAsia" w:cstheme="majorBidi"/>
      <w:iCs/>
      <w:w w:val="105"/>
      <w:kern w:val="22"/>
      <w:szCs w:val="24"/>
    </w:rPr>
  </w:style>
  <w:style w:type="character" w:customStyle="1" w:styleId="SubtitleChar">
    <w:name w:val="Subtitle Char"/>
    <w:basedOn w:val="DefaultParagraphFont"/>
    <w:link w:val="Subtitle"/>
    <w:uiPriority w:val="97"/>
    <w:rsid w:val="00AD6CC8"/>
    <w:rPr>
      <w:rFonts w:eastAsiaTheme="majorEastAsia" w:cstheme="majorBidi"/>
      <w:iCs/>
      <w:color w:val="435B76" w:themeColor="text2"/>
      <w:w w:val="105"/>
      <w:kern w:val="22"/>
      <w:sz w:val="22"/>
      <w:szCs w:val="24"/>
      <w:lang w:eastAsia="en-US"/>
    </w:rPr>
  </w:style>
  <w:style w:type="paragraph" w:styleId="Title">
    <w:name w:val="Title"/>
    <w:basedOn w:val="BodyColour"/>
    <w:next w:val="Subtitle"/>
    <w:link w:val="TitleChar"/>
    <w:uiPriority w:val="97"/>
    <w:rsid w:val="00AE1582"/>
    <w:pPr>
      <w:spacing w:after="0"/>
    </w:pPr>
    <w:rPr>
      <w:b/>
      <w:caps/>
      <w:w w:val="105"/>
      <w:kern w:val="160"/>
      <w:sz w:val="160"/>
    </w:rPr>
  </w:style>
  <w:style w:type="character" w:customStyle="1" w:styleId="TitleChar">
    <w:name w:val="Title Char"/>
    <w:basedOn w:val="DefaultParagraphFont"/>
    <w:link w:val="Title"/>
    <w:uiPriority w:val="97"/>
    <w:rsid w:val="000F0D74"/>
    <w:rPr>
      <w:rFonts w:eastAsia="Times New Roman" w:cs="Arial"/>
      <w:b/>
      <w:caps/>
      <w:color w:val="435B76" w:themeColor="text2"/>
      <w:w w:val="105"/>
      <w:kern w:val="160"/>
      <w:sz w:val="160"/>
      <w:lang w:eastAsia="en-US"/>
    </w:rPr>
  </w:style>
  <w:style w:type="paragraph" w:customStyle="1" w:styleId="ScottishSchedule">
    <w:name w:val="Scottish Schedule"/>
    <w:basedOn w:val="BodyText"/>
    <w:next w:val="ScottishScheduletext"/>
    <w:uiPriority w:val="78"/>
    <w:qFormat/>
    <w:rsid w:val="001C306B"/>
    <w:pPr>
      <w:jc w:val="center"/>
      <w:outlineLvl w:val="0"/>
    </w:pPr>
    <w:rPr>
      <w:b/>
    </w:rPr>
  </w:style>
  <w:style w:type="paragraph" w:customStyle="1" w:styleId="ScottishScheduletext">
    <w:name w:val="Scottish Schedule text"/>
    <w:basedOn w:val="BodyText"/>
    <w:uiPriority w:val="78"/>
    <w:qFormat/>
    <w:rsid w:val="001C306B"/>
    <w:pPr>
      <w:jc w:val="center"/>
      <w:outlineLvl w:val="1"/>
    </w:pPr>
    <w:rPr>
      <w:b/>
    </w:rPr>
  </w:style>
  <w:style w:type="character" w:customStyle="1" w:styleId="Heading2Char">
    <w:name w:val="Heading 2 Char"/>
    <w:basedOn w:val="DefaultParagraphFont"/>
    <w:link w:val="Heading2"/>
    <w:rsid w:val="00A8753F"/>
    <w:rPr>
      <w:rFonts w:eastAsia="Times New Roman" w:cs="Arial"/>
      <w:b/>
      <w:bCs/>
      <w:iCs/>
      <w:caps/>
      <w:color w:val="435B76" w:themeColor="text2"/>
      <w:sz w:val="24"/>
      <w:szCs w:val="28"/>
      <w:lang w:eastAsia="en-US"/>
    </w:rPr>
  </w:style>
  <w:style w:type="character" w:customStyle="1" w:styleId="Heading3Char">
    <w:name w:val="Heading 3 Char"/>
    <w:basedOn w:val="DefaultParagraphFont"/>
    <w:link w:val="Heading3"/>
    <w:uiPriority w:val="92"/>
    <w:rsid w:val="00A8753F"/>
    <w:rPr>
      <w:rFonts w:eastAsia="Times New Roman" w:cs="Arial"/>
      <w:b/>
      <w:bCs/>
      <w:caps/>
      <w:color w:val="435B76" w:themeColor="text2"/>
      <w:szCs w:val="26"/>
      <w:lang w:eastAsia="en-US"/>
    </w:rPr>
  </w:style>
  <w:style w:type="character" w:customStyle="1" w:styleId="Heading4Char">
    <w:name w:val="Heading 4 Char"/>
    <w:basedOn w:val="DefaultParagraphFont"/>
    <w:link w:val="Heading4"/>
    <w:uiPriority w:val="92"/>
    <w:rsid w:val="00A8753F"/>
    <w:rPr>
      <w:rFonts w:eastAsiaTheme="majorEastAsia" w:cstheme="majorBidi"/>
      <w:b/>
      <w:iCs/>
      <w:caps/>
      <w:color w:val="435B76" w:themeColor="text2"/>
      <w:lang w:eastAsia="en-US"/>
    </w:rPr>
  </w:style>
  <w:style w:type="character" w:customStyle="1" w:styleId="Heading5Char">
    <w:name w:val="Heading 5 Char"/>
    <w:basedOn w:val="DefaultParagraphFont"/>
    <w:link w:val="Heading5"/>
    <w:uiPriority w:val="92"/>
    <w:semiHidden/>
    <w:rsid w:val="00A8753F"/>
    <w:rPr>
      <w:rFonts w:eastAsiaTheme="majorEastAsia" w:cstheme="majorBidi"/>
      <w:iCs/>
      <w:caps/>
      <w:color w:val="435B76" w:themeColor="text2"/>
      <w:sz w:val="18"/>
      <w:lang w:eastAsia="en-US"/>
    </w:rPr>
  </w:style>
  <w:style w:type="table" w:customStyle="1" w:styleId="AGTable">
    <w:name w:val="AG Table"/>
    <w:basedOn w:val="TableNormal"/>
    <w:uiPriority w:val="99"/>
    <w:rsid w:val="00CF7B8F"/>
    <w:pPr>
      <w:spacing w:line="240" w:lineRule="auto"/>
      <w:jc w:val="left"/>
    </w:pPr>
    <w:rPr>
      <w:sz w:val="18"/>
      <w:szCs w:val="18"/>
    </w:rPr>
    <w:tblPr>
      <w:tblStyleRowBandSize w:val="1"/>
      <w:tblBorders>
        <w:top w:val="single" w:sz="4" w:space="0" w:color="71859A"/>
        <w:bottom w:val="single" w:sz="4" w:space="0" w:color="71859A"/>
        <w:insideH w:val="single" w:sz="4" w:space="0" w:color="435B76" w:themeColor="text2"/>
        <w:insideV w:val="single" w:sz="4" w:space="0" w:color="D58001" w:themeColor="accent2"/>
      </w:tblBorders>
      <w:tblCellMar>
        <w:bottom w:w="108" w:type="dxa"/>
      </w:tblCellMar>
    </w:tblPr>
    <w:tcPr>
      <w:shd w:val="clear" w:color="auto" w:fill="D5DDE7" w:themeFill="text2" w:themeFillTint="33"/>
    </w:tcPr>
    <w:tblStylePr w:type="firstRow">
      <w:pPr>
        <w:jc w:val="left"/>
      </w:pPr>
      <w:rPr>
        <w:rFonts w:ascii="Arial" w:hAnsi="Arial"/>
        <w:color w:val="E6E6E6" w:themeColor="background2"/>
        <w:sz w:val="18"/>
      </w:rPr>
      <w:tblPr/>
      <w:tcPr>
        <w:shd w:val="clear" w:color="auto" w:fill="71859A"/>
      </w:tcPr>
    </w:tblStylePr>
    <w:tblStylePr w:type="band1Horz">
      <w:rPr>
        <w:rFonts w:ascii="Arial" w:hAnsi="Arial"/>
        <w:sz w:val="18"/>
      </w:rPr>
      <w:tblPr/>
      <w:tcPr>
        <w:tcBorders>
          <w:top w:val="nil"/>
        </w:tcBorders>
        <w:shd w:val="clear" w:color="auto" w:fill="E2E6EA"/>
      </w:tcPr>
    </w:tblStylePr>
    <w:tblStylePr w:type="band2Horz">
      <w:rPr>
        <w:rFonts w:ascii="Arial" w:hAnsi="Arial"/>
        <w:sz w:val="18"/>
      </w:rPr>
      <w:tblPr/>
      <w:tcPr>
        <w:shd w:val="clear" w:color="auto" w:fill="E2E6EA"/>
      </w:tcPr>
    </w:tblStylePr>
  </w:style>
  <w:style w:type="paragraph" w:customStyle="1" w:styleId="BackgroundBullets1">
    <w:name w:val="Background Bullets 1"/>
    <w:basedOn w:val="Normal"/>
    <w:uiPriority w:val="93"/>
    <w:rsid w:val="00314E1A"/>
    <w:pPr>
      <w:numPr>
        <w:ilvl w:val="4"/>
        <w:numId w:val="27"/>
      </w:numPr>
      <w:shd w:val="clear" w:color="auto" w:fill="E2E6EA"/>
      <w:suppressAutoHyphens/>
      <w:spacing w:after="120" w:line="240" w:lineRule="exact"/>
      <w:ind w:right="28"/>
      <w:jc w:val="left"/>
    </w:pPr>
    <w:rPr>
      <w:sz w:val="18"/>
      <w:szCs w:val="18"/>
    </w:rPr>
  </w:style>
  <w:style w:type="paragraph" w:customStyle="1" w:styleId="BackgroundBullets2">
    <w:name w:val="Background Bullets 2"/>
    <w:basedOn w:val="Normal"/>
    <w:uiPriority w:val="93"/>
    <w:rsid w:val="00314E1A"/>
    <w:pPr>
      <w:numPr>
        <w:ilvl w:val="5"/>
        <w:numId w:val="27"/>
      </w:numPr>
      <w:shd w:val="clear" w:color="auto" w:fill="E2E6EA"/>
      <w:suppressAutoHyphens/>
      <w:spacing w:after="120" w:line="240" w:lineRule="exact"/>
      <w:ind w:right="28"/>
      <w:jc w:val="left"/>
    </w:pPr>
    <w:rPr>
      <w:sz w:val="18"/>
      <w:szCs w:val="18"/>
    </w:rPr>
  </w:style>
  <w:style w:type="paragraph" w:customStyle="1" w:styleId="BulletsLevel1">
    <w:name w:val="Bullets Level 1"/>
    <w:basedOn w:val="Normal"/>
    <w:uiPriority w:val="93"/>
    <w:rsid w:val="00314E1A"/>
    <w:pPr>
      <w:numPr>
        <w:numId w:val="27"/>
      </w:numPr>
      <w:suppressAutoHyphens/>
      <w:spacing w:after="240" w:line="240" w:lineRule="atLeast"/>
      <w:jc w:val="left"/>
      <w:outlineLvl w:val="0"/>
    </w:pPr>
    <w:rPr>
      <w:kern w:val="18"/>
      <w:sz w:val="18"/>
      <w:szCs w:val="18"/>
    </w:rPr>
  </w:style>
  <w:style w:type="paragraph" w:customStyle="1" w:styleId="BulletsLevel2">
    <w:name w:val="Bullets Level 2"/>
    <w:basedOn w:val="Normal"/>
    <w:uiPriority w:val="93"/>
    <w:rsid w:val="00314E1A"/>
    <w:pPr>
      <w:numPr>
        <w:ilvl w:val="1"/>
        <w:numId w:val="27"/>
      </w:numPr>
      <w:suppressAutoHyphens/>
      <w:spacing w:after="240" w:line="240" w:lineRule="atLeast"/>
      <w:jc w:val="left"/>
    </w:pPr>
    <w:rPr>
      <w:kern w:val="18"/>
      <w:sz w:val="18"/>
      <w:szCs w:val="18"/>
    </w:rPr>
  </w:style>
  <w:style w:type="numbering" w:customStyle="1" w:styleId="NumberingBulletsMarketing">
    <w:name w:val="Numbering Bullets Marketing"/>
    <w:uiPriority w:val="99"/>
    <w:rsid w:val="007D43C4"/>
    <w:pPr>
      <w:numPr>
        <w:numId w:val="26"/>
      </w:numPr>
    </w:pPr>
  </w:style>
  <w:style w:type="paragraph" w:customStyle="1" w:styleId="TableBullets1">
    <w:name w:val="Table Bullets 1"/>
    <w:basedOn w:val="Normal"/>
    <w:uiPriority w:val="93"/>
    <w:rsid w:val="00314E1A"/>
    <w:pPr>
      <w:numPr>
        <w:ilvl w:val="2"/>
        <w:numId w:val="27"/>
      </w:numPr>
      <w:suppressAutoHyphens/>
      <w:spacing w:before="120" w:line="240" w:lineRule="exact"/>
      <w:jc w:val="left"/>
    </w:pPr>
    <w:rPr>
      <w:spacing w:val="2"/>
      <w:kern w:val="17"/>
      <w:sz w:val="18"/>
      <w:szCs w:val="18"/>
    </w:rPr>
  </w:style>
  <w:style w:type="paragraph" w:customStyle="1" w:styleId="TableBullets2">
    <w:name w:val="Table Bullets 2"/>
    <w:basedOn w:val="Normal"/>
    <w:uiPriority w:val="93"/>
    <w:rsid w:val="00314E1A"/>
    <w:pPr>
      <w:numPr>
        <w:ilvl w:val="3"/>
        <w:numId w:val="27"/>
      </w:numPr>
      <w:suppressAutoHyphens/>
      <w:spacing w:before="120" w:line="240" w:lineRule="exact"/>
      <w:jc w:val="left"/>
    </w:pPr>
    <w:rPr>
      <w:spacing w:val="2"/>
      <w:kern w:val="17"/>
      <w:sz w:val="18"/>
      <w:szCs w:val="18"/>
    </w:rPr>
  </w:style>
  <w:style w:type="paragraph" w:customStyle="1" w:styleId="BodyColour">
    <w:name w:val="Body Colour"/>
    <w:basedOn w:val="BodyText"/>
    <w:uiPriority w:val="54"/>
    <w:rsid w:val="005C35C5"/>
    <w:pPr>
      <w:jc w:val="left"/>
    </w:pPr>
    <w:rPr>
      <w:rFonts w:eastAsia="Times New Roman" w:cs="Arial"/>
      <w:color w:val="435B76" w:themeColor="text2"/>
      <w:lang w:eastAsia="en-US"/>
    </w:rPr>
  </w:style>
  <w:style w:type="paragraph" w:customStyle="1" w:styleId="CropLine">
    <w:name w:val="Crop Line"/>
    <w:basedOn w:val="BodyText"/>
    <w:uiPriority w:val="98"/>
    <w:semiHidden/>
    <w:rsid w:val="00A16432"/>
    <w:pPr>
      <w:pBdr>
        <w:bottom w:val="single" w:sz="18" w:space="1" w:color="D58001" w:themeColor="accent2"/>
      </w:pBdr>
      <w:spacing w:after="0"/>
      <w:ind w:right="7371"/>
      <w:jc w:val="left"/>
    </w:pPr>
    <w:rPr>
      <w:rFonts w:eastAsia="Times New Roman" w:cs="Arial"/>
      <w:w w:val="110"/>
      <w:kern w:val="18"/>
      <w:sz w:val="12"/>
      <w:lang w:eastAsia="en-US"/>
    </w:rPr>
  </w:style>
  <w:style w:type="paragraph" w:customStyle="1" w:styleId="Quotation">
    <w:name w:val="Quotation"/>
    <w:basedOn w:val="Normal"/>
    <w:next w:val="QuotationCredit"/>
    <w:uiPriority w:val="93"/>
    <w:rsid w:val="000B254B"/>
    <w:pPr>
      <w:suppressAutoHyphens/>
      <w:spacing w:after="120" w:line="300" w:lineRule="atLeast"/>
      <w:jc w:val="left"/>
    </w:pPr>
    <w:rPr>
      <w:b/>
      <w:iCs/>
      <w:color w:val="435B76" w:themeColor="text2"/>
      <w:sz w:val="24"/>
      <w:szCs w:val="18"/>
    </w:rPr>
  </w:style>
  <w:style w:type="paragraph" w:customStyle="1" w:styleId="QuotationCredit">
    <w:name w:val="Quotation Credit"/>
    <w:basedOn w:val="Normal"/>
    <w:next w:val="BodyText"/>
    <w:uiPriority w:val="93"/>
    <w:rsid w:val="000B254B"/>
    <w:pPr>
      <w:suppressAutoHyphens/>
      <w:spacing w:after="200" w:line="200" w:lineRule="atLeast"/>
      <w:jc w:val="left"/>
    </w:pPr>
    <w:rPr>
      <w:color w:val="D58001" w:themeColor="accent2"/>
      <w:szCs w:val="18"/>
    </w:rPr>
  </w:style>
  <w:style w:type="paragraph" w:customStyle="1" w:styleId="SectionHead">
    <w:name w:val="Section Head"/>
    <w:basedOn w:val="BodyColour"/>
    <w:next w:val="BodyText"/>
    <w:uiPriority w:val="91"/>
    <w:qFormat/>
    <w:rsid w:val="007D43C4"/>
    <w:pPr>
      <w:spacing w:after="920"/>
    </w:pPr>
    <w:rPr>
      <w:rFonts w:eastAsiaTheme="minorEastAsia"/>
      <w:b/>
      <w:caps/>
      <w:kern w:val="72"/>
      <w:sz w:val="72"/>
    </w:rPr>
  </w:style>
  <w:style w:type="character" w:customStyle="1" w:styleId="Heading6Char">
    <w:name w:val="Heading 6 Char"/>
    <w:basedOn w:val="DefaultParagraphFont"/>
    <w:link w:val="Heading6"/>
    <w:uiPriority w:val="92"/>
    <w:semiHidden/>
    <w:rsid w:val="00A8753F"/>
    <w:rPr>
      <w:rFonts w:eastAsiaTheme="majorEastAsia" w:cstheme="majorBidi"/>
      <w:iCs/>
      <w:caps/>
      <w:color w:val="435B76" w:themeColor="text2"/>
      <w:sz w:val="18"/>
      <w:lang w:eastAsia="en-US"/>
    </w:rPr>
  </w:style>
  <w:style w:type="character" w:customStyle="1" w:styleId="Heading7Char">
    <w:name w:val="Heading 7 Char"/>
    <w:basedOn w:val="DefaultParagraphFont"/>
    <w:link w:val="Heading7"/>
    <w:uiPriority w:val="92"/>
    <w:semiHidden/>
    <w:rsid w:val="00A8753F"/>
    <w:rPr>
      <w:rFonts w:eastAsiaTheme="majorEastAsia" w:cstheme="majorBidi"/>
      <w:caps/>
      <w:color w:val="435B76" w:themeColor="text2"/>
      <w:sz w:val="18"/>
      <w:lang w:eastAsia="en-US"/>
    </w:rPr>
  </w:style>
  <w:style w:type="character" w:customStyle="1" w:styleId="Heading8Char">
    <w:name w:val="Heading 8 Char"/>
    <w:basedOn w:val="DefaultParagraphFont"/>
    <w:link w:val="Heading8"/>
    <w:uiPriority w:val="92"/>
    <w:semiHidden/>
    <w:rsid w:val="00A8753F"/>
    <w:rPr>
      <w:rFonts w:eastAsiaTheme="majorEastAsia" w:cstheme="majorBidi"/>
      <w:iCs/>
      <w:caps/>
      <w:color w:val="435B76" w:themeColor="text2"/>
      <w:sz w:val="18"/>
      <w:szCs w:val="21"/>
      <w:lang w:eastAsia="en-US"/>
    </w:rPr>
  </w:style>
  <w:style w:type="character" w:customStyle="1" w:styleId="Heading9Char">
    <w:name w:val="Heading 9 Char"/>
    <w:basedOn w:val="DefaultParagraphFont"/>
    <w:link w:val="Heading9"/>
    <w:uiPriority w:val="92"/>
    <w:semiHidden/>
    <w:rsid w:val="00A8753F"/>
    <w:rPr>
      <w:rFonts w:eastAsiaTheme="majorEastAsia" w:cstheme="majorBidi"/>
      <w:caps/>
      <w:color w:val="435B76" w:themeColor="text2"/>
      <w:sz w:val="18"/>
      <w:szCs w:val="21"/>
      <w:lang w:eastAsia="en-US"/>
    </w:rPr>
  </w:style>
  <w:style w:type="paragraph" w:customStyle="1" w:styleId="LogoPlaceholder">
    <w:name w:val="Logo Placeholder"/>
    <w:basedOn w:val="Normal"/>
    <w:uiPriority w:val="99"/>
    <w:rsid w:val="00A20F9D"/>
    <w:pPr>
      <w:spacing w:before="120" w:line="240" w:lineRule="auto"/>
      <w:jc w:val="left"/>
    </w:pPr>
    <w:rPr>
      <w:noProof/>
      <w:sz w:val="18"/>
      <w:szCs w:val="22"/>
    </w:rPr>
  </w:style>
  <w:style w:type="paragraph" w:customStyle="1" w:styleId="Bullets9">
    <w:name w:val="Bullets 9"/>
    <w:basedOn w:val="Normal"/>
    <w:uiPriority w:val="1"/>
    <w:semiHidden/>
    <w:rsid w:val="00A20F9D"/>
    <w:pPr>
      <w:tabs>
        <w:tab w:val="num" w:pos="6480"/>
      </w:tabs>
      <w:spacing w:after="240"/>
      <w:ind w:left="6480" w:hanging="720"/>
      <w:jc w:val="left"/>
    </w:pPr>
    <w:rPr>
      <w:w w:val="105"/>
      <w:sz w:val="17"/>
      <w:szCs w:val="17"/>
    </w:rPr>
  </w:style>
  <w:style w:type="paragraph" w:customStyle="1" w:styleId="Background">
    <w:name w:val="Background"/>
    <w:basedOn w:val="Normal"/>
    <w:uiPriority w:val="93"/>
    <w:rsid w:val="00C72EFC"/>
    <w:pPr>
      <w:shd w:val="clear" w:color="auto" w:fill="E2E6EA"/>
      <w:suppressAutoHyphens/>
      <w:spacing w:after="120" w:line="240" w:lineRule="atLeast"/>
      <w:ind w:left="28" w:right="28"/>
      <w:jc w:val="left"/>
    </w:pPr>
    <w:rPr>
      <w:sz w:val="18"/>
      <w:szCs w:val="18"/>
    </w:rPr>
  </w:style>
  <w:style w:type="paragraph" w:customStyle="1" w:styleId="CoverCropLine">
    <w:name w:val="Cover Crop Line"/>
    <w:basedOn w:val="CropLine"/>
    <w:next w:val="Normal"/>
    <w:uiPriority w:val="99"/>
    <w:semiHidden/>
    <w:rsid w:val="00A16432"/>
    <w:rPr>
      <w:w w:val="100"/>
      <w:kern w:val="0"/>
    </w:rPr>
  </w:style>
  <w:style w:type="paragraph" w:customStyle="1" w:styleId="CoverLogoPlaceholder">
    <w:name w:val="Cover Logo Placeholder"/>
    <w:basedOn w:val="LogoPlaceholder"/>
    <w:next w:val="Normal"/>
    <w:uiPriority w:val="99"/>
    <w:semiHidden/>
    <w:rsid w:val="00126B49"/>
    <w:rPr>
      <w:rFonts w:eastAsia="Times New Roman" w:cs="Times New Roman"/>
    </w:rPr>
  </w:style>
  <w:style w:type="paragraph" w:customStyle="1" w:styleId="CoverSubtitle">
    <w:name w:val="Cover Subtitle"/>
    <w:basedOn w:val="Subtitle"/>
    <w:next w:val="Normal"/>
    <w:uiPriority w:val="99"/>
    <w:semiHidden/>
    <w:rsid w:val="00A16432"/>
    <w:pPr>
      <w:spacing w:line="380" w:lineRule="atLeast"/>
    </w:pPr>
    <w:rPr>
      <w:sz w:val="32"/>
    </w:rPr>
  </w:style>
  <w:style w:type="paragraph" w:customStyle="1" w:styleId="CoverTitle">
    <w:name w:val="Cover Title"/>
    <w:basedOn w:val="Title"/>
    <w:next w:val="Normal"/>
    <w:uiPriority w:val="99"/>
    <w:semiHidden/>
    <w:rsid w:val="00A16432"/>
    <w:pPr>
      <w:spacing w:line="1600" w:lineRule="exact"/>
    </w:pPr>
  </w:style>
  <w:style w:type="paragraph" w:customStyle="1" w:styleId="Confidentiality">
    <w:name w:val="Confidentiality"/>
    <w:basedOn w:val="BodyColour"/>
    <w:uiPriority w:val="98"/>
    <w:rsid w:val="00A16432"/>
    <w:pPr>
      <w:spacing w:after="0" w:line="240" w:lineRule="atLeast"/>
      <w:jc w:val="right"/>
    </w:pPr>
    <w:rPr>
      <w:b/>
      <w:caps/>
    </w:rPr>
  </w:style>
  <w:style w:type="paragraph" w:customStyle="1" w:styleId="CoverConfidentiality">
    <w:name w:val="Cover Confidentiality"/>
    <w:basedOn w:val="Confidentiality"/>
    <w:next w:val="Normal"/>
    <w:uiPriority w:val="99"/>
    <w:semiHidden/>
    <w:rsid w:val="00C05F34"/>
  </w:style>
  <w:style w:type="paragraph" w:customStyle="1" w:styleId="ConfidentialityL">
    <w:name w:val="Confidentiality L"/>
    <w:basedOn w:val="Confidentiality"/>
    <w:next w:val="Normal"/>
    <w:uiPriority w:val="98"/>
    <w:rsid w:val="006C64A6"/>
  </w:style>
  <w:style w:type="paragraph" w:customStyle="1" w:styleId="CoverConfidentialityL">
    <w:name w:val="Cover Confidentiality L"/>
    <w:basedOn w:val="CoverConfidentiality"/>
    <w:next w:val="Normal"/>
    <w:uiPriority w:val="99"/>
    <w:semiHidden/>
    <w:rsid w:val="006C64A6"/>
  </w:style>
  <w:style w:type="paragraph" w:customStyle="1" w:styleId="TableCellBody">
    <w:name w:val="Table Cell Body"/>
    <w:basedOn w:val="BodyText"/>
    <w:uiPriority w:val="38"/>
    <w:rsid w:val="00175FBF"/>
    <w:pPr>
      <w:suppressAutoHyphens/>
      <w:spacing w:before="120" w:after="120" w:line="240" w:lineRule="atLeast"/>
      <w:jc w:val="left"/>
    </w:pPr>
    <w:rPr>
      <w:rFonts w:eastAsia="Times New Roman" w:cs="Arial"/>
      <w:lang w:eastAsia="en-US"/>
    </w:rPr>
  </w:style>
  <w:style w:type="paragraph" w:customStyle="1" w:styleId="TableCellHeading">
    <w:name w:val="Table Cell Heading"/>
    <w:basedOn w:val="TableCellBody"/>
    <w:link w:val="TableCellHeadingChar"/>
    <w:uiPriority w:val="38"/>
    <w:rsid w:val="00175FBF"/>
    <w:pPr>
      <w:spacing w:before="240"/>
    </w:pPr>
    <w:rPr>
      <w:b/>
      <w:caps/>
      <w:color w:val="FFFFFF"/>
      <w:lang w:eastAsia="en-GB"/>
    </w:rPr>
  </w:style>
  <w:style w:type="character" w:customStyle="1" w:styleId="TableCellHeadingChar">
    <w:name w:val="Table Cell Heading Char"/>
    <w:basedOn w:val="BodyTextChar"/>
    <w:link w:val="TableCellHeading"/>
    <w:uiPriority w:val="38"/>
    <w:rsid w:val="00175FBF"/>
    <w:rPr>
      <w:rFonts w:ascii="Calibri" w:eastAsia="Times New Roman" w:hAnsi="Calibri" w:cs="Arial"/>
      <w:b/>
      <w:caps/>
      <w:color w:val="FFFFFF"/>
      <w:sz w:val="18"/>
    </w:rPr>
  </w:style>
  <w:style w:type="table" w:customStyle="1" w:styleId="AGTable10">
    <w:name w:val="AG Table 10"/>
    <w:basedOn w:val="AGTable"/>
    <w:uiPriority w:val="99"/>
    <w:rsid w:val="00175FBF"/>
    <w:rPr>
      <w:sz w:val="20"/>
      <w:szCs w:val="20"/>
    </w:rPr>
    <w:tblPr>
      <w:tblStyleColBandSize w:val="1"/>
      <w:tblBorders>
        <w:top w:val="none" w:sz="0" w:space="0" w:color="auto"/>
        <w:left w:val="single" w:sz="4" w:space="0" w:color="71859A"/>
        <w:bottom w:val="none" w:sz="0" w:space="0" w:color="auto"/>
        <w:right w:val="single" w:sz="4" w:space="0" w:color="71859A"/>
        <w:insideH w:val="single" w:sz="4" w:space="0" w:color="71859A"/>
        <w:insideV w:val="single" w:sz="4" w:space="0" w:color="71859A"/>
      </w:tblBorders>
    </w:tblPr>
    <w:tcPr>
      <w:shd w:val="clear" w:color="auto" w:fill="E2E6EA"/>
    </w:tcPr>
    <w:tblStylePr w:type="firstRow">
      <w:pPr>
        <w:jc w:val="left"/>
      </w:pPr>
      <w:rPr>
        <w:rFonts w:ascii="Arial" w:hAnsi="Arial"/>
        <w:b/>
        <w:bCs/>
        <w:i w:val="0"/>
        <w:iCs/>
        <w:color w:val="E6E6E6" w:themeColor="background2"/>
        <w:sz w:val="20"/>
      </w:rPr>
      <w:tblPr/>
      <w:tcPr>
        <w:shd w:val="clear" w:color="auto" w:fill="71859A"/>
      </w:tcPr>
    </w:tblStylePr>
    <w:tblStylePr w:type="lastRow">
      <w:rPr>
        <w:rFonts w:ascii="Arial" w:hAnsi="Arial"/>
        <w:b w:val="0"/>
        <w:bCs/>
        <w:sz w:val="18"/>
      </w:rPr>
      <w:tblPr/>
      <w:tcPr>
        <w:tcBorders>
          <w:top w:val="nil"/>
          <w:left w:val="nil"/>
          <w:bottom w:val="nil"/>
          <w:right w:val="nil"/>
          <w:insideH w:val="nil"/>
          <w:insideV w:val="nil"/>
          <w:tl2br w:val="nil"/>
          <w:tr2bl w:val="nil"/>
        </w:tcBorders>
        <w:shd w:val="clear" w:color="auto" w:fill="F0F0F0" w:themeFill="accent1" w:themeFillTint="33"/>
      </w:tcPr>
    </w:tblStylePr>
    <w:tblStylePr w:type="firstCol">
      <w:rPr>
        <w:rFonts w:ascii="Arial" w:hAnsi="Arial"/>
        <w:b w:val="0"/>
        <w:bCs/>
        <w:sz w:val="18"/>
      </w:rPr>
      <w:tblPr/>
      <w:tcPr>
        <w:tcBorders>
          <w:tl2br w:val="none" w:sz="0" w:space="0" w:color="auto"/>
          <w:tr2bl w:val="none" w:sz="0" w:space="0" w:color="auto"/>
        </w:tcBorders>
      </w:tcPr>
    </w:tblStylePr>
    <w:tblStylePr w:type="lastCol">
      <w:rPr>
        <w:rFonts w:ascii="Arial" w:hAnsi="Arial"/>
        <w:b w:val="0"/>
        <w:bCs/>
        <w:sz w:val="18"/>
      </w:rPr>
      <w:tblPr/>
      <w:tcPr>
        <w:tcBorders>
          <w:tl2br w:val="none" w:sz="0" w:space="0" w:color="auto"/>
          <w:tr2bl w:val="none" w:sz="0" w:space="0" w:color="auto"/>
        </w:tcBorders>
      </w:tcPr>
    </w:tblStylePr>
    <w:tblStylePr w:type="band1Vert">
      <w:rPr>
        <w:rFonts w:ascii="Arial" w:hAnsi="Arial"/>
        <w:sz w:val="18"/>
      </w:rPr>
    </w:tblStylePr>
    <w:tblStylePr w:type="band2Vert">
      <w:rPr>
        <w:rFonts w:ascii="Arial" w:hAnsi="Arial"/>
        <w:sz w:val="18"/>
      </w:rPr>
    </w:tblStylePr>
    <w:tblStylePr w:type="band1Horz">
      <w:rPr>
        <w:rFonts w:ascii="Arial" w:hAnsi="Arial"/>
        <w:color w:val="auto"/>
        <w:sz w:val="20"/>
      </w:rPr>
      <w:tblPr/>
      <w:tcPr>
        <w:tcBorders>
          <w:top w:val="nil"/>
        </w:tcBorders>
        <w:shd w:val="clear" w:color="auto" w:fill="E2E6EA"/>
      </w:tcPr>
    </w:tblStylePr>
    <w:tblStylePr w:type="band2Horz">
      <w:rPr>
        <w:rFonts w:ascii="Arial" w:hAnsi="Arial"/>
        <w:sz w:val="20"/>
      </w:rPr>
      <w:tblPr/>
      <w:tcPr>
        <w:shd w:val="clear" w:color="auto" w:fill="E2E6EA"/>
      </w:tcPr>
    </w:tblStylePr>
  </w:style>
  <w:style w:type="paragraph" w:customStyle="1" w:styleId="QuoteShape">
    <w:name w:val="Quote Shape"/>
    <w:basedOn w:val="BodyText"/>
    <w:next w:val="Quotation"/>
    <w:uiPriority w:val="93"/>
    <w:rsid w:val="006A2CB8"/>
    <w:pPr>
      <w:spacing w:after="120" w:line="240" w:lineRule="atLeast"/>
      <w:jc w:val="left"/>
    </w:pPr>
    <w:rPr>
      <w:rFonts w:eastAsia="Times New Roman" w:cs="Arial"/>
      <w:sz w:val="18"/>
      <w:lang w:eastAsia="en-US"/>
    </w:rPr>
  </w:style>
  <w:style w:type="character" w:customStyle="1" w:styleId="SecondaryColour">
    <w:name w:val="Secondary Colour"/>
    <w:basedOn w:val="DefaultParagraphFont"/>
    <w:uiPriority w:val="99"/>
    <w:semiHidden/>
    <w:rsid w:val="00314E1A"/>
    <w:rPr>
      <w:color w:val="D58001" w:themeColor="accent2"/>
    </w:rPr>
  </w:style>
  <w:style w:type="paragraph" w:customStyle="1" w:styleId="AGNormalCharCharCharCharChar1">
    <w:name w:val="AGNormal Char Char Char Char Char1"/>
    <w:rsid w:val="005B25DB"/>
    <w:pPr>
      <w:autoSpaceDE w:val="0"/>
      <w:autoSpaceDN w:val="0"/>
      <w:adjustRightInd w:val="0"/>
      <w:spacing w:after="240" w:line="240" w:lineRule="auto"/>
    </w:pPr>
    <w:rPr>
      <w:rFonts w:ascii="Times New Roman" w:eastAsia="Times New Roman" w:hAnsi="Times New Roman" w:cs="Times New Roman"/>
      <w:kern w:val="28"/>
      <w:sz w:val="24"/>
      <w:szCs w:val="24"/>
      <w:lang w:val="en-US" w:eastAsia="en-US"/>
    </w:rPr>
  </w:style>
  <w:style w:type="numbering" w:customStyle="1" w:styleId="TheAppendixList">
    <w:name w:val="The Appendix List"/>
    <w:uiPriority w:val="99"/>
    <w:rsid w:val="00A51204"/>
    <w:pPr>
      <w:numPr>
        <w:numId w:val="28"/>
      </w:numPr>
    </w:pPr>
  </w:style>
  <w:style w:type="character" w:styleId="CommentReference">
    <w:name w:val="annotation reference"/>
    <w:semiHidden/>
    <w:rsid w:val="006D0636"/>
    <w:rPr>
      <w:spacing w:val="0"/>
      <w:sz w:val="16"/>
      <w:szCs w:val="16"/>
    </w:rPr>
  </w:style>
  <w:style w:type="character" w:customStyle="1" w:styleId="DOCSFooter">
    <w:name w:val="DOCSFooter"/>
    <w:rsid w:val="00DE6222"/>
    <w:rPr>
      <w:rFonts w:ascii="Arial" w:hAnsi="Arial" w:cs="Arial"/>
      <w:color w:val="auto"/>
      <w:spacing w:val="0"/>
      <w:w w:val="100"/>
      <w:kern w:val="0"/>
      <w:sz w:val="14"/>
      <w:szCs w:val="14"/>
      <w:u w:val="none"/>
      <w:vertAlign w:val="baseline"/>
    </w:rPr>
  </w:style>
  <w:style w:type="paragraph" w:styleId="CommentText">
    <w:name w:val="annotation text"/>
    <w:basedOn w:val="Normal"/>
    <w:link w:val="CommentTextChar"/>
    <w:semiHidden/>
    <w:rsid w:val="00DE6222"/>
    <w:pPr>
      <w:autoSpaceDE w:val="0"/>
      <w:autoSpaceDN w:val="0"/>
      <w:adjustRightInd w:val="0"/>
      <w:spacing w:line="240" w:lineRule="auto"/>
      <w:jc w:val="left"/>
    </w:pPr>
    <w:rPr>
      <w:rFonts w:ascii="Times New Roman" w:eastAsia="Times New Roman" w:hAnsi="Times New Roman" w:cs="Times New Roman"/>
      <w:lang w:eastAsia="en-US"/>
    </w:rPr>
  </w:style>
  <w:style w:type="character" w:customStyle="1" w:styleId="CommentTextChar">
    <w:name w:val="Comment Text Char"/>
    <w:basedOn w:val="DefaultParagraphFont"/>
    <w:link w:val="CommentText"/>
    <w:semiHidden/>
    <w:rsid w:val="00DE6222"/>
    <w:rPr>
      <w:rFonts w:ascii="Times New Roman" w:eastAsia="Times New Roman" w:hAnsi="Times New Roman" w:cs="Times New Roman"/>
      <w:lang w:eastAsia="en-US"/>
    </w:rPr>
  </w:style>
  <w:style w:type="paragraph" w:styleId="ListParagraph">
    <w:name w:val="List Paragraph"/>
    <w:basedOn w:val="Normal"/>
    <w:link w:val="ListParagraphChar"/>
    <w:uiPriority w:val="34"/>
    <w:qFormat/>
    <w:rsid w:val="00E627EC"/>
    <w:pPr>
      <w:spacing w:line="240" w:lineRule="auto"/>
      <w:ind w:left="720"/>
      <w:contextualSpacing/>
      <w:jc w:val="left"/>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rsid w:val="00E627EC"/>
    <w:rPr>
      <w:rFonts w:ascii="Times New Roman" w:eastAsia="Times New Roman" w:hAnsi="Times New Roman" w:cs="Times New Roman"/>
      <w:sz w:val="24"/>
      <w:szCs w:val="24"/>
      <w:lang w:val="en-US" w:eastAsia="en-US"/>
    </w:rPr>
  </w:style>
  <w:style w:type="paragraph" w:customStyle="1" w:styleId="Style1">
    <w:name w:val="Style1"/>
    <w:basedOn w:val="Level1Heading"/>
    <w:rsid w:val="00804467"/>
    <w:pPr>
      <w:jc w:val="left"/>
    </w:pPr>
    <w:rPr>
      <w:sz w:val="22"/>
      <w:szCs w:val="22"/>
    </w:rPr>
  </w:style>
  <w:style w:type="paragraph" w:customStyle="1" w:styleId="Section2Style">
    <w:name w:val="Section 2 Style"/>
    <w:basedOn w:val="BodyText"/>
    <w:rsid w:val="00804467"/>
    <w:pPr>
      <w:numPr>
        <w:numId w:val="29"/>
      </w:numPr>
    </w:pPr>
  </w:style>
  <w:style w:type="paragraph" w:customStyle="1" w:styleId="Section7Style">
    <w:name w:val="Section 7 Style"/>
    <w:basedOn w:val="Section2Style"/>
    <w:rsid w:val="00B72508"/>
  </w:style>
  <w:style w:type="character" w:styleId="Hyperlink">
    <w:name w:val="Hyperlink"/>
    <w:basedOn w:val="DefaultParagraphFont"/>
    <w:uiPriority w:val="99"/>
    <w:unhideWhenUsed/>
    <w:rsid w:val="009350F4"/>
    <w:rPr>
      <w:color w:val="1C58D3" w:themeColor="hyperlink"/>
      <w:u w:val="single"/>
    </w:rPr>
  </w:style>
  <w:style w:type="paragraph" w:customStyle="1" w:styleId="Corporate8Cont2">
    <w:name w:val="Corporate8 Cont 2"/>
    <w:basedOn w:val="Normal"/>
    <w:link w:val="Corporate8Cont2Char"/>
    <w:rsid w:val="009778CC"/>
    <w:pPr>
      <w:spacing w:after="240" w:line="240" w:lineRule="auto"/>
      <w:ind w:left="720"/>
    </w:pPr>
    <w:rPr>
      <w:rFonts w:ascii="Times New Roman" w:eastAsia="Times New Roman" w:hAnsi="Times New Roman" w:cs="Times New Roman"/>
      <w:sz w:val="24"/>
      <w:lang w:val="en-US" w:eastAsia="en-US"/>
    </w:rPr>
  </w:style>
  <w:style w:type="character" w:customStyle="1" w:styleId="Corporate8Cont2Char">
    <w:name w:val="Corporate8 Cont 2 Char"/>
    <w:basedOn w:val="DefaultParagraphFont"/>
    <w:link w:val="Corporate8Cont2"/>
    <w:rsid w:val="009778CC"/>
    <w:rPr>
      <w:rFonts w:ascii="Times New Roman" w:eastAsia="Times New Roman" w:hAnsi="Times New Roman" w:cs="Times New Roman"/>
      <w:sz w:val="24"/>
      <w:lang w:val="en-US" w:eastAsia="en-US"/>
    </w:rPr>
  </w:style>
  <w:style w:type="paragraph" w:customStyle="1" w:styleId="Corporate8L1">
    <w:name w:val="Corporate8_L1"/>
    <w:basedOn w:val="Normal"/>
    <w:next w:val="BodyText"/>
    <w:rsid w:val="009778CC"/>
    <w:pPr>
      <w:numPr>
        <w:numId w:val="31"/>
      </w:numPr>
      <w:spacing w:after="240" w:line="240" w:lineRule="auto"/>
      <w:jc w:val="left"/>
      <w:outlineLvl w:val="0"/>
    </w:pPr>
    <w:rPr>
      <w:rFonts w:ascii="Times New Roman" w:eastAsia="Times New Roman" w:hAnsi="Times New Roman" w:cs="Times New Roman"/>
      <w:b/>
      <w:caps/>
      <w:sz w:val="24"/>
      <w:lang w:val="en-US" w:eastAsia="en-US"/>
    </w:rPr>
  </w:style>
  <w:style w:type="paragraph" w:customStyle="1" w:styleId="Corporate8L2">
    <w:name w:val="Corporate8_L2"/>
    <w:basedOn w:val="Corporate8L1"/>
    <w:next w:val="BodyText"/>
    <w:link w:val="Corporate8L2Char"/>
    <w:rsid w:val="009778CC"/>
    <w:pPr>
      <w:numPr>
        <w:ilvl w:val="1"/>
      </w:numPr>
      <w:outlineLvl w:val="1"/>
    </w:pPr>
    <w:rPr>
      <w:caps w:val="0"/>
    </w:rPr>
  </w:style>
  <w:style w:type="paragraph" w:customStyle="1" w:styleId="Corporate8L3">
    <w:name w:val="Corporate8_L3"/>
    <w:basedOn w:val="Corporate8L2"/>
    <w:next w:val="BodyText"/>
    <w:link w:val="Corporate8L3Char"/>
    <w:rsid w:val="009778CC"/>
    <w:pPr>
      <w:numPr>
        <w:ilvl w:val="2"/>
      </w:numPr>
      <w:jc w:val="both"/>
      <w:outlineLvl w:val="2"/>
    </w:pPr>
    <w:rPr>
      <w:b w:val="0"/>
    </w:rPr>
  </w:style>
  <w:style w:type="paragraph" w:customStyle="1" w:styleId="Corporate8L4">
    <w:name w:val="Corporate8_L4"/>
    <w:basedOn w:val="Corporate8L3"/>
    <w:next w:val="BodyText"/>
    <w:rsid w:val="009778CC"/>
    <w:pPr>
      <w:numPr>
        <w:ilvl w:val="3"/>
      </w:numPr>
      <w:outlineLvl w:val="3"/>
    </w:pPr>
  </w:style>
  <w:style w:type="paragraph" w:customStyle="1" w:styleId="Corporate8L5">
    <w:name w:val="Corporate8_L5"/>
    <w:basedOn w:val="Corporate8L4"/>
    <w:next w:val="BodyText"/>
    <w:rsid w:val="009778CC"/>
    <w:pPr>
      <w:numPr>
        <w:ilvl w:val="4"/>
      </w:numPr>
      <w:outlineLvl w:val="4"/>
    </w:pPr>
    <w:rPr>
      <w:b/>
      <w:bCs/>
    </w:rPr>
  </w:style>
  <w:style w:type="paragraph" w:customStyle="1" w:styleId="Corporate8L6">
    <w:name w:val="Corporate8_L6"/>
    <w:basedOn w:val="Corporate8L5"/>
    <w:next w:val="BodyText"/>
    <w:rsid w:val="009778CC"/>
    <w:pPr>
      <w:numPr>
        <w:ilvl w:val="5"/>
      </w:numPr>
      <w:outlineLvl w:val="5"/>
    </w:pPr>
  </w:style>
  <w:style w:type="paragraph" w:customStyle="1" w:styleId="Corporate8L7">
    <w:name w:val="Corporate8_L7"/>
    <w:basedOn w:val="Corporate8L6"/>
    <w:next w:val="BodyText"/>
    <w:rsid w:val="009778CC"/>
    <w:pPr>
      <w:numPr>
        <w:ilvl w:val="6"/>
      </w:numPr>
      <w:outlineLvl w:val="6"/>
    </w:pPr>
  </w:style>
  <w:style w:type="paragraph" w:customStyle="1" w:styleId="Corporate8L8">
    <w:name w:val="Corporate8_L8"/>
    <w:basedOn w:val="Corporate8L7"/>
    <w:next w:val="BodyText"/>
    <w:rsid w:val="009778CC"/>
    <w:pPr>
      <w:numPr>
        <w:ilvl w:val="7"/>
      </w:numPr>
      <w:outlineLvl w:val="7"/>
    </w:pPr>
  </w:style>
  <w:style w:type="paragraph" w:customStyle="1" w:styleId="Corporate8L9">
    <w:name w:val="Corporate8_L9"/>
    <w:basedOn w:val="Corporate8L8"/>
    <w:next w:val="BodyText"/>
    <w:rsid w:val="009778CC"/>
    <w:pPr>
      <w:numPr>
        <w:ilvl w:val="8"/>
      </w:numPr>
      <w:outlineLvl w:val="8"/>
    </w:pPr>
  </w:style>
  <w:style w:type="character" w:customStyle="1" w:styleId="zzmpTrailerItem">
    <w:name w:val="zzmpTrailerItem"/>
    <w:basedOn w:val="DefaultParagraphFont"/>
    <w:rsid w:val="009778CC"/>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Corporate8L2Char">
    <w:name w:val="Corporate8_L2 Char"/>
    <w:link w:val="Corporate8L2"/>
    <w:rsid w:val="00783A9D"/>
    <w:rPr>
      <w:rFonts w:ascii="Times New Roman" w:eastAsia="Times New Roman" w:hAnsi="Times New Roman" w:cs="Times New Roman"/>
      <w:b/>
      <w:sz w:val="24"/>
      <w:lang w:val="en-US" w:eastAsia="en-US"/>
    </w:rPr>
  </w:style>
  <w:style w:type="character" w:customStyle="1" w:styleId="Corporate8L3Char">
    <w:name w:val="Corporate8_L3 Char"/>
    <w:link w:val="Corporate8L3"/>
    <w:rsid w:val="00783A9D"/>
    <w:rPr>
      <w:rFonts w:ascii="Times New Roman" w:eastAsia="Times New Roman" w:hAnsi="Times New Roman" w:cs="Times New Roman"/>
      <w:sz w:val="24"/>
      <w:lang w:val="en-US" w:eastAsia="en-US"/>
    </w:rPr>
  </w:style>
  <w:style w:type="paragraph" w:customStyle="1" w:styleId="Default">
    <w:name w:val="Default"/>
    <w:rsid w:val="00914954"/>
    <w:pPr>
      <w:autoSpaceDE w:val="0"/>
      <w:autoSpaceDN w:val="0"/>
      <w:adjustRightInd w:val="0"/>
      <w:spacing w:line="240" w:lineRule="auto"/>
      <w:jc w:val="left"/>
    </w:pPr>
    <w:rPr>
      <w:rFonts w:cs="Arial"/>
      <w:color w:val="000000"/>
      <w:sz w:val="24"/>
      <w:szCs w:val="24"/>
    </w:rPr>
  </w:style>
  <w:style w:type="paragraph" w:styleId="NormalWeb">
    <w:name w:val="Normal (Web)"/>
    <w:basedOn w:val="Normal"/>
    <w:uiPriority w:val="99"/>
    <w:semiHidden/>
    <w:unhideWhenUsed/>
    <w:rsid w:val="00372BF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tab-span">
    <w:name w:val="apple-tab-span"/>
    <w:basedOn w:val="DefaultParagraphFont"/>
    <w:rsid w:val="00372BF1"/>
  </w:style>
  <w:style w:type="paragraph" w:customStyle="1" w:styleId="BodyText0">
    <w:name w:val="BodyText"/>
    <w:aliases w:val="BT"/>
    <w:link w:val="BodyTextChar0"/>
    <w:rsid w:val="0016365A"/>
    <w:pPr>
      <w:autoSpaceDE w:val="0"/>
      <w:autoSpaceDN w:val="0"/>
      <w:adjustRightInd w:val="0"/>
      <w:spacing w:line="240" w:lineRule="auto"/>
      <w:jc w:val="left"/>
    </w:pPr>
    <w:rPr>
      <w:rFonts w:ascii="Times New Roman" w:eastAsia="Times New Roman" w:hAnsi="Times New Roman" w:cs="Times New Roman"/>
      <w:sz w:val="24"/>
      <w:szCs w:val="24"/>
      <w:lang w:val="en-US" w:eastAsia="en-US"/>
    </w:rPr>
  </w:style>
  <w:style w:type="character" w:customStyle="1" w:styleId="BodyTextChar0">
    <w:name w:val="BodyText Char"/>
    <w:aliases w:val="BT Char"/>
    <w:basedOn w:val="DefaultParagraphFont"/>
    <w:link w:val="BodyText0"/>
    <w:rsid w:val="0016365A"/>
    <w:rPr>
      <w:rFonts w:ascii="Times New Roman" w:eastAsia="Times New Roman" w:hAnsi="Times New Roman" w:cs="Times New Roman"/>
      <w:sz w:val="24"/>
      <w:szCs w:val="24"/>
      <w:lang w:val="en-US" w:eastAsia="en-US"/>
    </w:rPr>
  </w:style>
  <w:style w:type="character" w:styleId="Emphasis">
    <w:name w:val="Emphasis"/>
    <w:qFormat/>
    <w:rsid w:val="0016365A"/>
    <w:rPr>
      <w:i/>
      <w:iCs/>
      <w:spacing w:val="0"/>
    </w:rPr>
  </w:style>
  <w:style w:type="paragraph" w:customStyle="1" w:styleId="LONLegal1Cont2">
    <w:name w:val="LONLegal1 Cont 2"/>
    <w:basedOn w:val="Normal"/>
    <w:rsid w:val="0016365A"/>
    <w:pPr>
      <w:spacing w:after="220" w:line="240" w:lineRule="auto"/>
      <w:ind w:left="992"/>
      <w:jc w:val="left"/>
    </w:pPr>
    <w:rPr>
      <w:rFonts w:ascii="Times New Roman" w:eastAsia="Times New Roman" w:hAnsi="Times New Roman" w:cs="Times New Roman"/>
      <w:sz w:val="24"/>
      <w:lang w:eastAsia="en-US"/>
    </w:rPr>
  </w:style>
  <w:style w:type="paragraph" w:customStyle="1" w:styleId="Scheme1L1">
    <w:name w:val="Scheme1_L1"/>
    <w:basedOn w:val="Normal"/>
    <w:next w:val="BodyText"/>
    <w:link w:val="Scheme1L1Char"/>
    <w:rsid w:val="00F57C16"/>
    <w:pPr>
      <w:numPr>
        <w:numId w:val="34"/>
      </w:numPr>
      <w:spacing w:after="240" w:line="240" w:lineRule="auto"/>
    </w:pPr>
    <w:rPr>
      <w:rFonts w:ascii="Times New Roman" w:eastAsia="Times New Roman" w:hAnsi="Times New Roman" w:cs="Times New Roman"/>
      <w:b/>
      <w:sz w:val="24"/>
      <w:lang w:eastAsia="en-US"/>
    </w:rPr>
  </w:style>
  <w:style w:type="paragraph" w:customStyle="1" w:styleId="Scheme1L2">
    <w:name w:val="Scheme1_L2"/>
    <w:basedOn w:val="Normal"/>
    <w:next w:val="BodyText"/>
    <w:link w:val="Scheme1L2Char"/>
    <w:rsid w:val="00F57C16"/>
    <w:pPr>
      <w:numPr>
        <w:ilvl w:val="1"/>
        <w:numId w:val="34"/>
      </w:numPr>
      <w:spacing w:after="240" w:line="240" w:lineRule="auto"/>
      <w:outlineLvl w:val="1"/>
    </w:pPr>
    <w:rPr>
      <w:rFonts w:ascii="Times New Roman" w:eastAsiaTheme="minorHAnsi" w:hAnsi="Times New Roman"/>
      <w:sz w:val="24"/>
      <w:szCs w:val="22"/>
      <w:lang w:eastAsia="en-US"/>
    </w:rPr>
  </w:style>
  <w:style w:type="character" w:customStyle="1" w:styleId="Scheme1L2Char">
    <w:name w:val="Scheme1_L2 Char"/>
    <w:link w:val="Scheme1L2"/>
    <w:rsid w:val="00F57C16"/>
    <w:rPr>
      <w:rFonts w:ascii="Times New Roman" w:eastAsiaTheme="minorHAnsi" w:hAnsi="Times New Roman"/>
      <w:sz w:val="24"/>
      <w:szCs w:val="22"/>
      <w:lang w:eastAsia="en-US"/>
    </w:rPr>
  </w:style>
  <w:style w:type="paragraph" w:customStyle="1" w:styleId="Scheme1L3">
    <w:name w:val="Scheme1_L3"/>
    <w:basedOn w:val="Normal"/>
    <w:next w:val="BodyText"/>
    <w:link w:val="Scheme1L3Char"/>
    <w:rsid w:val="00F57C16"/>
    <w:pPr>
      <w:numPr>
        <w:ilvl w:val="2"/>
        <w:numId w:val="34"/>
      </w:numPr>
      <w:spacing w:after="240" w:line="240" w:lineRule="auto"/>
      <w:outlineLvl w:val="2"/>
    </w:pPr>
    <w:rPr>
      <w:rFonts w:ascii="Times New Roman" w:eastAsiaTheme="minorHAnsi" w:hAnsi="Times New Roman"/>
      <w:sz w:val="24"/>
      <w:szCs w:val="22"/>
      <w:lang w:eastAsia="en-US"/>
    </w:rPr>
  </w:style>
  <w:style w:type="paragraph" w:customStyle="1" w:styleId="Scheme1L4">
    <w:name w:val="Scheme1_L4"/>
    <w:basedOn w:val="Scheme1L3"/>
    <w:next w:val="BodyText"/>
    <w:rsid w:val="00F57C16"/>
    <w:pPr>
      <w:numPr>
        <w:ilvl w:val="3"/>
      </w:numPr>
      <w:outlineLvl w:val="3"/>
    </w:pPr>
    <w:rPr>
      <w:rFonts w:ascii="Calibri" w:hAnsi="Calibri"/>
      <w:sz w:val="22"/>
    </w:rPr>
  </w:style>
  <w:style w:type="paragraph" w:customStyle="1" w:styleId="Scheme1L5">
    <w:name w:val="Scheme1_L5"/>
    <w:basedOn w:val="Scheme1L4"/>
    <w:next w:val="BodyText"/>
    <w:rsid w:val="00F57C16"/>
    <w:pPr>
      <w:numPr>
        <w:ilvl w:val="4"/>
      </w:numPr>
      <w:outlineLvl w:val="4"/>
    </w:pPr>
  </w:style>
  <w:style w:type="paragraph" w:customStyle="1" w:styleId="Scheme1L6">
    <w:name w:val="Scheme1_L6"/>
    <w:basedOn w:val="Scheme1L5"/>
    <w:next w:val="BodyText"/>
    <w:rsid w:val="00F57C16"/>
    <w:pPr>
      <w:numPr>
        <w:ilvl w:val="5"/>
      </w:numPr>
      <w:outlineLvl w:val="5"/>
    </w:pPr>
  </w:style>
  <w:style w:type="paragraph" w:customStyle="1" w:styleId="Scheme1L7">
    <w:name w:val="Scheme1_L7"/>
    <w:basedOn w:val="Scheme1L6"/>
    <w:next w:val="BodyText"/>
    <w:rsid w:val="00F57C16"/>
    <w:pPr>
      <w:numPr>
        <w:ilvl w:val="6"/>
      </w:numPr>
      <w:outlineLvl w:val="6"/>
    </w:pPr>
  </w:style>
  <w:style w:type="paragraph" w:customStyle="1" w:styleId="Scheme1L8">
    <w:name w:val="Scheme1_L8"/>
    <w:basedOn w:val="Scheme1L7"/>
    <w:next w:val="BodyText"/>
    <w:rsid w:val="00F57C16"/>
    <w:pPr>
      <w:numPr>
        <w:ilvl w:val="7"/>
      </w:numPr>
      <w:outlineLvl w:val="7"/>
    </w:pPr>
  </w:style>
  <w:style w:type="paragraph" w:customStyle="1" w:styleId="Scheme1L9">
    <w:name w:val="Scheme1_L9"/>
    <w:basedOn w:val="Scheme1L8"/>
    <w:next w:val="BodyText"/>
    <w:rsid w:val="00F57C16"/>
    <w:pPr>
      <w:numPr>
        <w:ilvl w:val="8"/>
      </w:numPr>
      <w:outlineLvl w:val="8"/>
    </w:pPr>
  </w:style>
  <w:style w:type="paragraph" w:customStyle="1" w:styleId="Non-Agreement1">
    <w:name w:val="Non-Agreement 1"/>
    <w:basedOn w:val="Normal"/>
    <w:rsid w:val="00F57C16"/>
    <w:pPr>
      <w:numPr>
        <w:ilvl w:val="4"/>
        <w:numId w:val="35"/>
      </w:numPr>
      <w:spacing w:before="240" w:after="120" w:line="240" w:lineRule="auto"/>
      <w:ind w:left="720"/>
      <w:outlineLvl w:val="0"/>
    </w:pPr>
    <w:rPr>
      <w:rFonts w:ascii="Times New Roman" w:eastAsia="Times New Roman" w:hAnsi="Times New Roman" w:cs="Times New Roman"/>
      <w:bCs/>
      <w:sz w:val="24"/>
      <w:szCs w:val="24"/>
      <w:lang w:eastAsia="en-US"/>
    </w:rPr>
  </w:style>
  <w:style w:type="paragraph" w:customStyle="1" w:styleId="Non-Agreement2">
    <w:name w:val="Non-Agreement 2"/>
    <w:basedOn w:val="Normal"/>
    <w:rsid w:val="00F57C16"/>
    <w:pPr>
      <w:numPr>
        <w:ilvl w:val="5"/>
        <w:numId w:val="35"/>
      </w:numPr>
      <w:tabs>
        <w:tab w:val="num" w:pos="0"/>
      </w:tabs>
      <w:spacing w:before="240" w:after="120" w:line="240" w:lineRule="auto"/>
      <w:ind w:left="1440" w:hanging="720"/>
      <w:outlineLvl w:val="1"/>
    </w:pPr>
    <w:rPr>
      <w:rFonts w:ascii="Times New Roman" w:eastAsia="Times New Roman" w:hAnsi="Times New Roman" w:cs="Times New Roman"/>
      <w:bCs/>
      <w:sz w:val="24"/>
      <w:szCs w:val="24"/>
      <w:lang w:eastAsia="en-US"/>
    </w:rPr>
  </w:style>
  <w:style w:type="paragraph" w:customStyle="1" w:styleId="Non-Agreement3">
    <w:name w:val="Non-Agreement 3"/>
    <w:basedOn w:val="Normal"/>
    <w:rsid w:val="00F57C16"/>
    <w:pPr>
      <w:numPr>
        <w:ilvl w:val="6"/>
        <w:numId w:val="35"/>
      </w:numPr>
      <w:tabs>
        <w:tab w:val="num" w:pos="0"/>
        <w:tab w:val="left" w:pos="720"/>
      </w:tabs>
      <w:spacing w:before="240" w:after="120" w:line="240" w:lineRule="auto"/>
      <w:ind w:left="2160" w:hanging="720"/>
      <w:outlineLvl w:val="2"/>
    </w:pPr>
    <w:rPr>
      <w:rFonts w:ascii="Times New Roman" w:eastAsia="Times New Roman" w:hAnsi="Times New Roman" w:cs="Times New Roman"/>
      <w:bCs/>
      <w:sz w:val="24"/>
      <w:szCs w:val="24"/>
      <w:lang w:eastAsia="en-US"/>
    </w:rPr>
  </w:style>
  <w:style w:type="paragraph" w:customStyle="1" w:styleId="Non-Agreement4">
    <w:name w:val="Non-Agreement 4"/>
    <w:basedOn w:val="Normal"/>
    <w:rsid w:val="00F57C16"/>
    <w:pPr>
      <w:numPr>
        <w:ilvl w:val="7"/>
        <w:numId w:val="35"/>
      </w:numPr>
      <w:tabs>
        <w:tab w:val="num" w:pos="0"/>
      </w:tabs>
      <w:spacing w:before="240" w:after="120" w:line="240" w:lineRule="auto"/>
      <w:ind w:left="2880" w:hanging="720"/>
      <w:outlineLvl w:val="3"/>
    </w:pPr>
    <w:rPr>
      <w:rFonts w:ascii="Times New Roman" w:eastAsia="Times New Roman" w:hAnsi="Times New Roman" w:cs="Times New Roman"/>
      <w:bCs/>
      <w:sz w:val="24"/>
      <w:szCs w:val="24"/>
      <w:lang w:eastAsia="en-US"/>
    </w:rPr>
  </w:style>
  <w:style w:type="character" w:customStyle="1" w:styleId="Scheme1L1Char">
    <w:name w:val="Scheme1_L1 Char"/>
    <w:link w:val="Scheme1L1"/>
    <w:rsid w:val="00463D8F"/>
    <w:rPr>
      <w:rFonts w:ascii="Times New Roman" w:eastAsia="Times New Roman" w:hAnsi="Times New Roman" w:cs="Times New Roman"/>
      <w:b/>
      <w:sz w:val="24"/>
      <w:lang w:eastAsia="en-US"/>
    </w:rPr>
  </w:style>
  <w:style w:type="character" w:customStyle="1" w:styleId="Scheme1L3Char">
    <w:name w:val="Scheme1_L3 Char"/>
    <w:link w:val="Scheme1L3"/>
    <w:rsid w:val="00463D8F"/>
    <w:rPr>
      <w:rFonts w:ascii="Times New Roman" w:eastAsiaTheme="minorHAnsi" w:hAnsi="Times New Roman"/>
      <w:sz w:val="24"/>
      <w:szCs w:val="22"/>
      <w:lang w:eastAsia="en-US"/>
    </w:rPr>
  </w:style>
  <w:style w:type="paragraph" w:customStyle="1" w:styleId="Basic1">
    <w:name w:val="Basic 1"/>
    <w:basedOn w:val="Normal"/>
    <w:link w:val="Basic1CharChar"/>
    <w:rsid w:val="002A499D"/>
    <w:pPr>
      <w:autoSpaceDE w:val="0"/>
      <w:autoSpaceDN w:val="0"/>
      <w:adjustRightInd w:val="0"/>
      <w:spacing w:after="240" w:line="240" w:lineRule="auto"/>
      <w:outlineLvl w:val="0"/>
    </w:pPr>
    <w:rPr>
      <w:rFonts w:eastAsia="Times New Roman" w:cs="Arial"/>
      <w:lang w:eastAsia="en-US"/>
    </w:rPr>
  </w:style>
  <w:style w:type="character" w:customStyle="1" w:styleId="Basic1CharChar">
    <w:name w:val="Basic 1 Char Char"/>
    <w:link w:val="Basic1"/>
    <w:rsid w:val="002A499D"/>
    <w:rPr>
      <w:rFonts w:eastAsia="Times New Roman" w:cs="Arial"/>
      <w:lang w:eastAsia="en-US"/>
    </w:rPr>
  </w:style>
  <w:style w:type="paragraph" w:customStyle="1" w:styleId="LONLegal1L1">
    <w:name w:val="LONLegal1_L1"/>
    <w:basedOn w:val="Normal"/>
    <w:next w:val="LONLegal1L2"/>
    <w:rsid w:val="002A499D"/>
    <w:pPr>
      <w:keepNext/>
      <w:numPr>
        <w:ilvl w:val="3"/>
        <w:numId w:val="36"/>
      </w:numPr>
      <w:tabs>
        <w:tab w:val="clear" w:pos="2976"/>
        <w:tab w:val="num" w:pos="992"/>
      </w:tabs>
      <w:spacing w:after="220" w:line="240" w:lineRule="auto"/>
      <w:ind w:left="992"/>
      <w:jc w:val="left"/>
      <w:outlineLvl w:val="0"/>
    </w:pPr>
    <w:rPr>
      <w:rFonts w:ascii="Times New Roman" w:eastAsia="Times New Roman" w:hAnsi="Times New Roman" w:cs="Times New Roman"/>
      <w:b/>
      <w:caps/>
      <w:sz w:val="24"/>
      <w:lang w:eastAsia="en-US"/>
    </w:rPr>
  </w:style>
  <w:style w:type="paragraph" w:customStyle="1" w:styleId="LONLegal1L2">
    <w:name w:val="LONLegal1_L2"/>
    <w:basedOn w:val="Normal"/>
    <w:rsid w:val="002A499D"/>
    <w:pPr>
      <w:numPr>
        <w:ilvl w:val="4"/>
        <w:numId w:val="36"/>
      </w:numPr>
      <w:tabs>
        <w:tab w:val="clear" w:pos="3968"/>
        <w:tab w:val="num" w:pos="992"/>
      </w:tabs>
      <w:spacing w:after="220" w:line="240" w:lineRule="auto"/>
      <w:ind w:left="992" w:hanging="992"/>
      <w:jc w:val="left"/>
      <w:outlineLvl w:val="1"/>
    </w:pPr>
    <w:rPr>
      <w:rFonts w:ascii="Times New Roman" w:eastAsia="Times New Roman" w:hAnsi="Times New Roman" w:cs="Times New Roman"/>
      <w:sz w:val="24"/>
      <w:lang w:eastAsia="en-US"/>
    </w:rPr>
  </w:style>
  <w:style w:type="paragraph" w:customStyle="1" w:styleId="LONLegal1L3">
    <w:name w:val="LONLegal1_L3"/>
    <w:basedOn w:val="Normal"/>
    <w:rsid w:val="002A499D"/>
    <w:pPr>
      <w:numPr>
        <w:ilvl w:val="6"/>
        <w:numId w:val="36"/>
      </w:numPr>
      <w:tabs>
        <w:tab w:val="clear" w:pos="5953"/>
        <w:tab w:val="num" w:pos="1984"/>
      </w:tabs>
      <w:spacing w:after="220" w:line="240" w:lineRule="auto"/>
      <w:ind w:left="1984"/>
      <w:jc w:val="left"/>
      <w:outlineLvl w:val="2"/>
    </w:pPr>
    <w:rPr>
      <w:rFonts w:ascii="Times New Roman" w:eastAsia="Times New Roman" w:hAnsi="Times New Roman" w:cs="Times New Roman"/>
      <w:sz w:val="24"/>
      <w:lang w:eastAsia="en-US"/>
    </w:rPr>
  </w:style>
  <w:style w:type="paragraph" w:customStyle="1" w:styleId="LONLegal1L6">
    <w:name w:val="LONLegal1_L6"/>
    <w:basedOn w:val="Normal"/>
    <w:rsid w:val="002A499D"/>
    <w:pPr>
      <w:numPr>
        <w:ilvl w:val="5"/>
        <w:numId w:val="36"/>
      </w:numPr>
      <w:spacing w:after="220" w:line="240" w:lineRule="auto"/>
      <w:jc w:val="left"/>
      <w:outlineLvl w:val="5"/>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40891">
      <w:bodyDiv w:val="1"/>
      <w:marLeft w:val="0"/>
      <w:marRight w:val="0"/>
      <w:marTop w:val="0"/>
      <w:marBottom w:val="0"/>
      <w:divBdr>
        <w:top w:val="none" w:sz="0" w:space="0" w:color="auto"/>
        <w:left w:val="none" w:sz="0" w:space="0" w:color="auto"/>
        <w:bottom w:val="none" w:sz="0" w:space="0" w:color="auto"/>
        <w:right w:val="none" w:sz="0" w:space="0" w:color="auto"/>
      </w:divBdr>
    </w:div>
    <w:div w:id="418645599">
      <w:bodyDiv w:val="1"/>
      <w:marLeft w:val="0"/>
      <w:marRight w:val="0"/>
      <w:marTop w:val="0"/>
      <w:marBottom w:val="0"/>
      <w:divBdr>
        <w:top w:val="none" w:sz="0" w:space="0" w:color="auto"/>
        <w:left w:val="none" w:sz="0" w:space="0" w:color="auto"/>
        <w:bottom w:val="none" w:sz="0" w:space="0" w:color="auto"/>
        <w:right w:val="none" w:sz="0" w:space="0" w:color="auto"/>
      </w:divBdr>
    </w:div>
    <w:div w:id="581645410">
      <w:bodyDiv w:val="1"/>
      <w:marLeft w:val="0"/>
      <w:marRight w:val="0"/>
      <w:marTop w:val="0"/>
      <w:marBottom w:val="0"/>
      <w:divBdr>
        <w:top w:val="none" w:sz="0" w:space="0" w:color="auto"/>
        <w:left w:val="none" w:sz="0" w:space="0" w:color="auto"/>
        <w:bottom w:val="none" w:sz="0" w:space="0" w:color="auto"/>
        <w:right w:val="none" w:sz="0" w:space="0" w:color="auto"/>
      </w:divBdr>
    </w:div>
    <w:div w:id="600139703">
      <w:bodyDiv w:val="1"/>
      <w:marLeft w:val="0"/>
      <w:marRight w:val="0"/>
      <w:marTop w:val="0"/>
      <w:marBottom w:val="0"/>
      <w:divBdr>
        <w:top w:val="none" w:sz="0" w:space="0" w:color="auto"/>
        <w:left w:val="none" w:sz="0" w:space="0" w:color="auto"/>
        <w:bottom w:val="none" w:sz="0" w:space="0" w:color="auto"/>
        <w:right w:val="none" w:sz="0" w:space="0" w:color="auto"/>
      </w:divBdr>
    </w:div>
    <w:div w:id="661003321">
      <w:bodyDiv w:val="1"/>
      <w:marLeft w:val="0"/>
      <w:marRight w:val="0"/>
      <w:marTop w:val="0"/>
      <w:marBottom w:val="0"/>
      <w:divBdr>
        <w:top w:val="none" w:sz="0" w:space="0" w:color="auto"/>
        <w:left w:val="none" w:sz="0" w:space="0" w:color="auto"/>
        <w:bottom w:val="none" w:sz="0" w:space="0" w:color="auto"/>
        <w:right w:val="none" w:sz="0" w:space="0" w:color="auto"/>
      </w:divBdr>
    </w:div>
    <w:div w:id="864682775">
      <w:bodyDiv w:val="1"/>
      <w:marLeft w:val="0"/>
      <w:marRight w:val="0"/>
      <w:marTop w:val="0"/>
      <w:marBottom w:val="0"/>
      <w:divBdr>
        <w:top w:val="none" w:sz="0" w:space="0" w:color="auto"/>
        <w:left w:val="none" w:sz="0" w:space="0" w:color="auto"/>
        <w:bottom w:val="none" w:sz="0" w:space="0" w:color="auto"/>
        <w:right w:val="none" w:sz="0" w:space="0" w:color="auto"/>
      </w:divBdr>
    </w:div>
    <w:div w:id="1214855285">
      <w:bodyDiv w:val="1"/>
      <w:marLeft w:val="0"/>
      <w:marRight w:val="0"/>
      <w:marTop w:val="0"/>
      <w:marBottom w:val="0"/>
      <w:divBdr>
        <w:top w:val="none" w:sz="0" w:space="0" w:color="auto"/>
        <w:left w:val="none" w:sz="0" w:space="0" w:color="auto"/>
        <w:bottom w:val="none" w:sz="0" w:space="0" w:color="auto"/>
        <w:right w:val="none" w:sz="0" w:space="0" w:color="auto"/>
      </w:divBdr>
    </w:div>
    <w:div w:id="1318996825">
      <w:bodyDiv w:val="1"/>
      <w:marLeft w:val="0"/>
      <w:marRight w:val="0"/>
      <w:marTop w:val="0"/>
      <w:marBottom w:val="0"/>
      <w:divBdr>
        <w:top w:val="none" w:sz="0" w:space="0" w:color="auto"/>
        <w:left w:val="none" w:sz="0" w:space="0" w:color="auto"/>
        <w:bottom w:val="none" w:sz="0" w:space="0" w:color="auto"/>
        <w:right w:val="none" w:sz="0" w:space="0" w:color="auto"/>
      </w:divBdr>
    </w:div>
    <w:div w:id="1647199268">
      <w:bodyDiv w:val="1"/>
      <w:marLeft w:val="0"/>
      <w:marRight w:val="0"/>
      <w:marTop w:val="0"/>
      <w:marBottom w:val="0"/>
      <w:divBdr>
        <w:top w:val="none" w:sz="0" w:space="0" w:color="auto"/>
        <w:left w:val="none" w:sz="0" w:space="0" w:color="auto"/>
        <w:bottom w:val="none" w:sz="0" w:space="0" w:color="auto"/>
        <w:right w:val="none" w:sz="0" w:space="0" w:color="auto"/>
      </w:divBdr>
    </w:div>
    <w:div w:id="1864246777">
      <w:bodyDiv w:val="1"/>
      <w:marLeft w:val="0"/>
      <w:marRight w:val="0"/>
      <w:marTop w:val="0"/>
      <w:marBottom w:val="0"/>
      <w:divBdr>
        <w:top w:val="none" w:sz="0" w:space="0" w:color="auto"/>
        <w:left w:val="none" w:sz="0" w:space="0" w:color="auto"/>
        <w:bottom w:val="none" w:sz="0" w:space="0" w:color="auto"/>
        <w:right w:val="none" w:sz="0" w:space="0" w:color="auto"/>
      </w:divBdr>
    </w:div>
    <w:div w:id="1886020462">
      <w:bodyDiv w:val="1"/>
      <w:marLeft w:val="0"/>
      <w:marRight w:val="0"/>
      <w:marTop w:val="0"/>
      <w:marBottom w:val="0"/>
      <w:divBdr>
        <w:top w:val="none" w:sz="0" w:space="0" w:color="auto"/>
        <w:left w:val="none" w:sz="0" w:space="0" w:color="auto"/>
        <w:bottom w:val="none" w:sz="0" w:space="0" w:color="auto"/>
        <w:right w:val="none" w:sz="0" w:space="0" w:color="auto"/>
      </w:divBdr>
    </w:div>
    <w:div w:id="20572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n.wikipedia.org/wiki/Electronic_trading_platform" TargetMode="External"/><Relationship Id="rId26" Type="http://schemas.openxmlformats.org/officeDocument/2006/relationships/hyperlink" Target="https://en.wikipedia.org/wiki/Bond_(finance)" TargetMode="External"/><Relationship Id="rId3" Type="http://schemas.openxmlformats.org/officeDocument/2006/relationships/styles" Target="styles.xml"/><Relationship Id="rId21" Type="http://schemas.openxmlformats.org/officeDocument/2006/relationships/hyperlink" Target="https://en.wikipedia.org/wiki/Option_(financ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Brokerage_firm" TargetMode="External"/><Relationship Id="rId25" Type="http://schemas.openxmlformats.org/officeDocument/2006/relationships/hyperlink" Target="https://en.wikipedia.org/wiki/Fore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en.wikipedia.org/wiki/Sto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n.wikipedia.org/wiki/Futures_contract"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en.wikipedia.org/wiki/Exchange_of_futures_for_physicals" TargetMode="External"/><Relationship Id="rId28" Type="http://schemas.openxmlformats.org/officeDocument/2006/relationships/hyperlink" Target="https://en.wikipedia.org/wiki/Cryptocurrency" TargetMode="External"/><Relationship Id="rId10" Type="http://schemas.openxmlformats.org/officeDocument/2006/relationships/footer" Target="footer1.xml"/><Relationship Id="rId19" Type="http://schemas.openxmlformats.org/officeDocument/2006/relationships/hyperlink" Target="https://en.wiktionary.org/wiki/daily_average_revenue_trad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en.wikipedia.org/wiki/Futures_contract" TargetMode="External"/><Relationship Id="rId27" Type="http://schemas.openxmlformats.org/officeDocument/2006/relationships/hyperlink" Target="https://en.wikipedia.org/wiki/Mutual_fund"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ikit\TMS\Templates\Blank%20Doc.dotx" TargetMode="External"/></Relationships>
</file>

<file path=word/theme/theme1.xml><?xml version="1.0" encoding="utf-8"?>
<a:theme xmlns:a="http://schemas.openxmlformats.org/drawingml/2006/main" name="AG New">
  <a:themeElements>
    <a:clrScheme name="AG New">
      <a:dk1>
        <a:srgbClr val="000000"/>
      </a:dk1>
      <a:lt1>
        <a:srgbClr val="FFFFFF"/>
      </a:lt1>
      <a:dk2>
        <a:srgbClr val="435B76"/>
      </a:dk2>
      <a:lt2>
        <a:srgbClr val="E6E6E6"/>
      </a:lt2>
      <a:accent1>
        <a:srgbClr val="B4B4B4"/>
      </a:accent1>
      <a:accent2>
        <a:srgbClr val="D58001"/>
      </a:accent2>
      <a:accent3>
        <a:srgbClr val="71859A"/>
      </a:accent3>
      <a:accent4>
        <a:srgbClr val="068FB1"/>
      </a:accent4>
      <a:accent5>
        <a:srgbClr val="06985B"/>
      </a:accent5>
      <a:accent6>
        <a:srgbClr val="9F1CBB"/>
      </a:accent6>
      <a:hlink>
        <a:srgbClr val="1C58D3"/>
      </a:hlink>
      <a:folHlink>
        <a:srgbClr val="103C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440F8-C805-43B0-B960-A392DC3D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(x86)\Tikit\TMS\Templates\Blank Doc.dotx</Template>
  <TotalTime>1</TotalTime>
  <Pages>56</Pages>
  <Words>21469</Words>
  <Characters>122378</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Addleshaw Goddard</Company>
  <LinksUpToDate>false</LinksUpToDate>
  <CharactersWithSpaces>143560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Addleshaw Goddard</dc:creator>
  <cp:keywords/>
  <dc:description/>
  <cp:lastModifiedBy>Andreas Michael</cp:lastModifiedBy>
  <cp:revision>2</cp:revision>
  <dcterms:created xsi:type="dcterms:W3CDTF">2024-10-21T07:52:00Z</dcterms:created>
  <dcterms:modified xsi:type="dcterms:W3CDTF">2024-10-21T07:52:00Z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_Type">
    <vt:lpwstr>BackEnd</vt:lpwstr>
  </property>
  <property fmtid="{D5CDD505-2E9C-101B-9397-08002B2CF9AE}" pid="3" name="DocLoc">
    <vt:lpwstr>10-83279505-8\402553-2</vt:lpwstr>
  </property>
  <property fmtid="{D5CDD505-2E9C-101B-9397-08002B2CF9AE}" pid="4" name="DocWasProtected">
    <vt:lpwstr>False</vt:lpwstr>
  </property>
  <property fmtid="{D5CDD505-2E9C-101B-9397-08002B2CF9AE}" pid="5" name="Document Reference">
    <vt:lpwstr>10-83279505-8\402553-2</vt:lpwstr>
  </property>
  <property fmtid="{D5CDD505-2E9C-101B-9397-08002B2CF9AE}" pid="6" name="Sensitivity">
    <vt:lpwstr>None</vt:lpwstr>
  </property>
  <property fmtid="{D5CDD505-2E9C-101B-9397-08002B2CF9AE}" pid="7" name="ProtectionLevel">
    <vt:lpwstr>None</vt:lpwstr>
  </property>
  <property fmtid="{D5CDD505-2E9C-101B-9397-08002B2CF9AE}" pid="8" name="UnprotectedWithPassword">
    <vt:lpwstr>False</vt:lpwstr>
  </property>
  <property fmtid="{D5CDD505-2E9C-101B-9397-08002B2CF9AE}" pid="9" name="_AdHocReviewCycleID">
    <vt:i4>-1244061104</vt:i4>
  </property>
  <property fmtid="{D5CDD505-2E9C-101B-9397-08002B2CF9AE}" pid="10" name="_NewReviewCycle">
    <vt:lpwstr/>
  </property>
  <property fmtid="{D5CDD505-2E9C-101B-9397-08002B2CF9AE}" pid="11" name="_EmailSubject">
    <vt:lpwstr>Welcome Pack for Private Company Limited By Shares - REALIZE T-BILLS FUND (OEIC) LIMITED</vt:lpwstr>
  </property>
  <property fmtid="{D5CDD505-2E9C-101B-9397-08002B2CF9AE}" pid="12" name="_AuthorEmail">
    <vt:lpwstr>p.dowsett@aglaw.com</vt:lpwstr>
  </property>
  <property fmtid="{D5CDD505-2E9C-101B-9397-08002B2CF9AE}" pid="13" name="_AuthorEmailDisplayName">
    <vt:lpwstr>Dowsett, Philip</vt:lpwstr>
  </property>
</Properties>
</file>